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D9F2154">
      <w:pPr>
        <w:spacing w:line="360" w:lineRule="auto"/>
        <w:jc w:val="center"/>
        <w:rPr>
          <w:rFonts w:hint="eastAsia" w:ascii="Times New Roman" w:hAnsi="Times New Roman"/>
          <w:b/>
          <w:bCs/>
          <w:sz w:val="28"/>
          <w:szCs w:val="24"/>
        </w:rPr>
      </w:pPr>
      <w:bookmarkStart w:id="0" w:name="_GoBack"/>
      <w:r>
        <w:rPr>
          <w:rFonts w:hint="eastAsia" w:ascii="Times New Roman" w:hAnsi="Times New Roman"/>
          <w:b/>
          <w:bCs/>
          <w:sz w:val="28"/>
          <w:szCs w:val="24"/>
        </w:rPr>
        <w:t>流感</w:t>
      </w:r>
      <w:r>
        <w:rPr>
          <w:rFonts w:hint="eastAsia" w:ascii="Times New Roman" w:hAnsi="Times New Roman"/>
          <w:b/>
          <w:bCs/>
          <w:sz w:val="28"/>
          <w:szCs w:val="24"/>
          <w:lang w:val="en-US" w:eastAsia="zh-CN"/>
        </w:rPr>
        <w:t>疫苗</w:t>
      </w:r>
      <w:r>
        <w:rPr>
          <w:rFonts w:hint="eastAsia" w:ascii="Times New Roman" w:hAnsi="Times New Roman"/>
          <w:b/>
          <w:bCs/>
          <w:sz w:val="28"/>
          <w:szCs w:val="24"/>
        </w:rPr>
        <w:t>免疫后发生突破感染受流行株与疫苗株匹配程度和疫苗诱导的抗体应答的影响</w:t>
      </w:r>
    </w:p>
    <w:bookmarkEnd w:id="0"/>
    <w:p w14:paraId="3B8F41A4">
      <w:pPr>
        <w:spacing w:line="360" w:lineRule="auto"/>
        <w:jc w:val="center"/>
        <w:rPr>
          <w:rFonts w:hint="eastAsia" w:ascii="华文楷体" w:hAnsi="华文楷体" w:eastAsia="华文楷体" w:cs="华文楷体"/>
          <w:b w:val="0"/>
          <w:bCs w:val="0"/>
          <w:sz w:val="24"/>
          <w:szCs w:val="24"/>
          <w:vertAlign w:val="superscript"/>
          <w:lang w:val="en-US" w:eastAsia="zh-CN"/>
        </w:rPr>
      </w:pPr>
      <w:r>
        <w:rPr>
          <w:rFonts w:hint="eastAsia" w:ascii="华文楷体" w:hAnsi="华文楷体" w:eastAsia="华文楷体" w:cs="华文楷体"/>
          <w:b w:val="0"/>
          <w:bCs w:val="0"/>
          <w:sz w:val="24"/>
          <w:szCs w:val="24"/>
          <w:lang w:val="en-US" w:eastAsia="zh-CN"/>
        </w:rPr>
        <w:t>江湖大川</w:t>
      </w:r>
      <w:r>
        <w:rPr>
          <w:rFonts w:hint="eastAsia" w:ascii="华文楷体" w:hAnsi="华文楷体" w:eastAsia="华文楷体" w:cs="华文楷体"/>
          <w:b w:val="0"/>
          <w:bCs w:val="0"/>
          <w:sz w:val="24"/>
          <w:szCs w:val="24"/>
          <w:vertAlign w:val="superscript"/>
          <w:lang w:val="en-US" w:eastAsia="zh-CN"/>
        </w:rPr>
        <w:t xml:space="preserve">1 </w:t>
      </w:r>
      <w:r>
        <w:rPr>
          <w:rFonts w:hint="eastAsia" w:ascii="华文楷体" w:hAnsi="华文楷体" w:eastAsia="华文楷体" w:cs="华文楷体"/>
          <w:b w:val="0"/>
          <w:bCs w:val="0"/>
          <w:sz w:val="24"/>
          <w:szCs w:val="24"/>
          <w:lang w:val="en-US" w:eastAsia="zh-CN"/>
        </w:rPr>
        <w:t>罗剑</w:t>
      </w:r>
      <w:r>
        <w:rPr>
          <w:rFonts w:hint="eastAsia" w:ascii="华文楷体" w:hAnsi="华文楷体" w:eastAsia="华文楷体" w:cs="华文楷体"/>
          <w:b w:val="0"/>
          <w:bCs w:val="0"/>
          <w:sz w:val="24"/>
          <w:szCs w:val="24"/>
          <w:vertAlign w:val="superscript"/>
          <w:lang w:val="en-US" w:eastAsia="zh-CN"/>
        </w:rPr>
        <w:t>3</w:t>
      </w:r>
      <w:r>
        <w:rPr>
          <w:rFonts w:hint="eastAsia" w:ascii="华文楷体" w:hAnsi="华文楷体" w:eastAsia="华文楷体" w:cs="华文楷体"/>
          <w:b w:val="0"/>
          <w:bCs w:val="0"/>
          <w:sz w:val="24"/>
          <w:szCs w:val="24"/>
          <w:lang w:val="en-US" w:eastAsia="zh-CN"/>
        </w:rPr>
        <w:t xml:space="preserve"> 储凯</w:t>
      </w:r>
      <w:r>
        <w:rPr>
          <w:rFonts w:hint="eastAsia" w:ascii="华文楷体" w:hAnsi="华文楷体" w:eastAsia="华文楷体" w:cs="华文楷体"/>
          <w:b w:val="0"/>
          <w:bCs w:val="0"/>
          <w:sz w:val="24"/>
          <w:szCs w:val="24"/>
          <w:vertAlign w:val="superscript"/>
          <w:lang w:val="en-US" w:eastAsia="zh-CN"/>
        </w:rPr>
        <w:t>2</w:t>
      </w:r>
      <w:r>
        <w:rPr>
          <w:rFonts w:hint="eastAsia" w:ascii="华文楷体" w:hAnsi="华文楷体" w:eastAsia="华文楷体" w:cs="华文楷体"/>
          <w:b w:val="0"/>
          <w:bCs w:val="0"/>
          <w:sz w:val="24"/>
          <w:szCs w:val="24"/>
          <w:lang w:val="en-US" w:eastAsia="zh-CN"/>
        </w:rPr>
        <w:t xml:space="preserve"> 朱凤才</w:t>
      </w:r>
      <w:r>
        <w:rPr>
          <w:rFonts w:hint="eastAsia" w:ascii="华文楷体" w:hAnsi="华文楷体" w:eastAsia="华文楷体" w:cs="华文楷体"/>
          <w:b w:val="0"/>
          <w:bCs w:val="0"/>
          <w:sz w:val="24"/>
          <w:szCs w:val="24"/>
          <w:vertAlign w:val="superscript"/>
          <w:lang w:val="en-US" w:eastAsia="zh-CN"/>
        </w:rPr>
        <w:t>1，2</w:t>
      </w:r>
    </w:p>
    <w:p w14:paraId="5661BDAA">
      <w:pPr>
        <w:spacing w:line="360" w:lineRule="auto"/>
        <w:jc w:val="center"/>
        <w:rPr>
          <w:rFonts w:hint="default" w:ascii="华文楷体" w:hAnsi="华文楷体" w:eastAsia="华文楷体" w:cs="华文楷体"/>
          <w:b w:val="0"/>
          <w:bCs w:val="0"/>
          <w:sz w:val="24"/>
          <w:szCs w:val="24"/>
          <w:vertAlign w:val="baseline"/>
          <w:lang w:val="en-US" w:eastAsia="zh-CN"/>
        </w:rPr>
      </w:pPr>
      <w:r>
        <w:rPr>
          <w:rFonts w:hint="eastAsia" w:ascii="华文楷体" w:hAnsi="华文楷体" w:eastAsia="华文楷体" w:cs="华文楷体"/>
          <w:b w:val="0"/>
          <w:bCs w:val="0"/>
          <w:sz w:val="24"/>
          <w:szCs w:val="24"/>
          <w:vertAlign w:val="superscript"/>
          <w:lang w:val="en-US" w:eastAsia="zh-CN"/>
        </w:rPr>
        <w:t>1</w:t>
      </w:r>
      <w:r>
        <w:rPr>
          <w:rFonts w:hint="eastAsia" w:ascii="华文楷体" w:hAnsi="华文楷体" w:eastAsia="华文楷体" w:cs="华文楷体"/>
          <w:b w:val="0"/>
          <w:bCs w:val="0"/>
          <w:sz w:val="24"/>
          <w:szCs w:val="24"/>
          <w:vertAlign w:val="baseline"/>
          <w:lang w:val="en-US" w:eastAsia="zh-CN"/>
        </w:rPr>
        <w:t>东南大学公共卫生学院，南京210009；</w:t>
      </w:r>
      <w:r>
        <w:rPr>
          <w:rFonts w:hint="eastAsia" w:ascii="华文楷体" w:hAnsi="华文楷体" w:eastAsia="华文楷体" w:cs="华文楷体"/>
          <w:b w:val="0"/>
          <w:bCs w:val="0"/>
          <w:sz w:val="24"/>
          <w:szCs w:val="24"/>
          <w:vertAlign w:val="superscript"/>
          <w:lang w:val="en-US" w:eastAsia="zh-CN"/>
        </w:rPr>
        <w:t>2</w:t>
      </w:r>
      <w:r>
        <w:rPr>
          <w:rFonts w:hint="eastAsia" w:ascii="华文楷体" w:hAnsi="华文楷体" w:eastAsia="华文楷体" w:cs="华文楷体"/>
          <w:b w:val="0"/>
          <w:bCs w:val="0"/>
          <w:sz w:val="24"/>
          <w:szCs w:val="24"/>
          <w:vertAlign w:val="baseline"/>
          <w:lang w:val="en-US" w:eastAsia="zh-CN"/>
        </w:rPr>
        <w:t xml:space="preserve"> 江苏省疾病预防控制中心疫苗临床评价所，南京210009；</w:t>
      </w:r>
      <w:r>
        <w:rPr>
          <w:rFonts w:hint="eastAsia" w:ascii="华文楷体" w:hAnsi="华文楷体" w:eastAsia="华文楷体" w:cs="华文楷体"/>
          <w:b w:val="0"/>
          <w:bCs w:val="0"/>
          <w:sz w:val="24"/>
          <w:szCs w:val="24"/>
          <w:vertAlign w:val="superscript"/>
          <w:lang w:val="en-US" w:eastAsia="zh-CN"/>
        </w:rPr>
        <w:t>3</w:t>
      </w:r>
      <w:r>
        <w:rPr>
          <w:rFonts w:hint="eastAsia" w:ascii="华文楷体" w:hAnsi="华文楷体" w:eastAsia="华文楷体" w:cs="华文楷体"/>
          <w:b w:val="0"/>
          <w:bCs w:val="0"/>
          <w:sz w:val="24"/>
          <w:szCs w:val="24"/>
          <w:vertAlign w:val="baseline"/>
          <w:lang w:val="en-US" w:eastAsia="zh-CN"/>
        </w:rPr>
        <w:t>上海生物制品研究所有限责任公司第四研究室</w:t>
      </w:r>
      <w:r>
        <w:rPr>
          <w:rFonts w:hint="default" w:ascii="华文楷体" w:hAnsi="华文楷体" w:eastAsia="华文楷体" w:cs="华文楷体"/>
          <w:b w:val="0"/>
          <w:bCs w:val="0"/>
          <w:sz w:val="24"/>
          <w:szCs w:val="24"/>
          <w:vertAlign w:val="baseline"/>
          <w:lang w:val="en-US" w:eastAsia="zh-CN"/>
        </w:rPr>
        <w:t>,</w:t>
      </w:r>
      <w:r>
        <w:rPr>
          <w:rFonts w:hint="eastAsia" w:ascii="华文楷体" w:hAnsi="华文楷体" w:eastAsia="华文楷体" w:cs="华文楷体"/>
          <w:b w:val="0"/>
          <w:bCs w:val="0"/>
          <w:sz w:val="24"/>
          <w:szCs w:val="24"/>
          <w:vertAlign w:val="baseline"/>
          <w:lang w:val="en-US" w:eastAsia="zh-CN"/>
        </w:rPr>
        <w:t>上海200050</w:t>
      </w:r>
    </w:p>
    <w:p w14:paraId="42DE2BEA">
      <w:pPr>
        <w:spacing w:line="360" w:lineRule="auto"/>
        <w:jc w:val="left"/>
        <w:rPr>
          <w:rFonts w:hint="default" w:ascii="华文楷体" w:hAnsi="华文楷体" w:eastAsia="华文楷体" w:cs="华文楷体"/>
          <w:b w:val="0"/>
          <w:bCs w:val="0"/>
          <w:sz w:val="24"/>
          <w:szCs w:val="24"/>
          <w:vertAlign w:val="baseline"/>
          <w:lang w:val="en-US" w:eastAsia="zh-CN"/>
        </w:rPr>
      </w:pPr>
      <w:r>
        <w:rPr>
          <w:rFonts w:hint="eastAsia" w:ascii="华文楷体" w:hAnsi="华文楷体" w:eastAsia="华文楷体" w:cs="华文楷体"/>
          <w:b w:val="0"/>
          <w:bCs w:val="0"/>
          <w:sz w:val="24"/>
          <w:szCs w:val="24"/>
          <w:vertAlign w:val="baseline"/>
          <w:lang w:val="en-US" w:eastAsia="zh-CN"/>
        </w:rPr>
        <w:t>通信作者：朱凤才，Email：</w:t>
      </w:r>
      <w:r>
        <w:rPr>
          <w:rFonts w:hint="eastAsia" w:ascii="华文楷体" w:hAnsi="华文楷体" w:eastAsia="华文楷体" w:cs="华文楷体"/>
          <w:b w:val="0"/>
          <w:bCs w:val="0"/>
          <w:sz w:val="24"/>
          <w:szCs w:val="24"/>
          <w:vertAlign w:val="baseline"/>
          <w:lang w:val="en-US" w:eastAsia="zh-CN"/>
        </w:rPr>
        <w:fldChar w:fldCharType="begin"/>
      </w:r>
      <w:r>
        <w:rPr>
          <w:rFonts w:hint="eastAsia" w:ascii="华文楷体" w:hAnsi="华文楷体" w:eastAsia="华文楷体" w:cs="华文楷体"/>
          <w:b w:val="0"/>
          <w:bCs w:val="0"/>
          <w:sz w:val="24"/>
          <w:szCs w:val="24"/>
          <w:vertAlign w:val="baseline"/>
          <w:lang w:val="en-US" w:eastAsia="zh-CN"/>
        </w:rPr>
        <w:instrText xml:space="preserve"> HYPERLINK "mailto:jszfc@vip.sina.com" </w:instrText>
      </w:r>
      <w:r>
        <w:rPr>
          <w:rFonts w:hint="eastAsia" w:ascii="华文楷体" w:hAnsi="华文楷体" w:eastAsia="华文楷体" w:cs="华文楷体"/>
          <w:b w:val="0"/>
          <w:bCs w:val="0"/>
          <w:sz w:val="24"/>
          <w:szCs w:val="24"/>
          <w:vertAlign w:val="baseline"/>
          <w:lang w:val="en-US" w:eastAsia="zh-CN"/>
        </w:rPr>
        <w:fldChar w:fldCharType="separate"/>
      </w:r>
      <w:r>
        <w:rPr>
          <w:rStyle w:val="6"/>
          <w:rFonts w:hint="eastAsia" w:ascii="华文楷体" w:hAnsi="华文楷体" w:eastAsia="华文楷体" w:cs="华文楷体"/>
          <w:b w:val="0"/>
          <w:bCs w:val="0"/>
          <w:sz w:val="24"/>
          <w:szCs w:val="24"/>
          <w:vertAlign w:val="baseline"/>
          <w:lang w:val="en-US" w:eastAsia="zh-CN"/>
        </w:rPr>
        <w:t>jszfc@vip</w:t>
      </w:r>
      <w:r>
        <w:rPr>
          <w:rStyle w:val="6"/>
          <w:rFonts w:hint="default" w:ascii="华文楷体" w:hAnsi="华文楷体" w:eastAsia="华文楷体" w:cs="华文楷体"/>
          <w:b w:val="0"/>
          <w:bCs w:val="0"/>
          <w:sz w:val="24"/>
          <w:szCs w:val="24"/>
          <w:vertAlign w:val="baseline"/>
          <w:lang w:val="en-US" w:eastAsia="zh-CN"/>
        </w:rPr>
        <w:t>.s</w:t>
      </w:r>
      <w:r>
        <w:rPr>
          <w:rStyle w:val="6"/>
          <w:rFonts w:hint="eastAsia" w:ascii="华文楷体" w:hAnsi="华文楷体" w:eastAsia="华文楷体" w:cs="华文楷体"/>
          <w:b w:val="0"/>
          <w:bCs w:val="0"/>
          <w:sz w:val="24"/>
          <w:szCs w:val="24"/>
          <w:vertAlign w:val="baseline"/>
          <w:lang w:val="en-US" w:eastAsia="zh-CN"/>
        </w:rPr>
        <w:t>ina</w:t>
      </w:r>
      <w:r>
        <w:rPr>
          <w:rStyle w:val="6"/>
          <w:rFonts w:hint="default" w:ascii="华文楷体" w:hAnsi="华文楷体" w:eastAsia="华文楷体" w:cs="华文楷体"/>
          <w:b w:val="0"/>
          <w:bCs w:val="0"/>
          <w:sz w:val="24"/>
          <w:szCs w:val="24"/>
          <w:vertAlign w:val="baseline"/>
          <w:lang w:val="en-US" w:eastAsia="zh-CN"/>
        </w:rPr>
        <w:t>.com</w:t>
      </w:r>
      <w:r>
        <w:rPr>
          <w:rFonts w:hint="eastAsia" w:ascii="华文楷体" w:hAnsi="华文楷体" w:eastAsia="华文楷体" w:cs="华文楷体"/>
          <w:b w:val="0"/>
          <w:bCs w:val="0"/>
          <w:sz w:val="24"/>
          <w:szCs w:val="24"/>
          <w:vertAlign w:val="baseline"/>
          <w:lang w:val="en-US" w:eastAsia="zh-CN"/>
        </w:rPr>
        <w:fldChar w:fldCharType="end"/>
      </w:r>
    </w:p>
    <w:p w14:paraId="095BC551">
      <w:pPr>
        <w:spacing w:line="360" w:lineRule="auto"/>
        <w:jc w:val="left"/>
        <w:rPr>
          <w:rFonts w:hint="default" w:ascii="华文楷体" w:hAnsi="华文楷体" w:eastAsia="华文楷体" w:cs="华文楷体"/>
          <w:b w:val="0"/>
          <w:bCs w:val="0"/>
          <w:sz w:val="24"/>
          <w:szCs w:val="24"/>
          <w:vertAlign w:val="baseline"/>
          <w:lang w:val="en-US" w:eastAsia="zh-CN"/>
        </w:rPr>
      </w:pPr>
    </w:p>
    <w:p w14:paraId="02AC7889">
      <w:pPr>
        <w:spacing w:line="360" w:lineRule="auto"/>
        <w:rPr>
          <w:rFonts w:hint="eastAsia" w:ascii="Times New Roman" w:hAnsi="Times New Roman" w:eastAsia="宋体"/>
          <w:b/>
          <w:bCs/>
          <w:lang w:val="en-US" w:eastAsia="zh-CN"/>
        </w:rPr>
      </w:pPr>
      <w:r>
        <w:rPr>
          <w:rFonts w:hint="eastAsia" w:ascii="Times New Roman" w:hAnsi="Times New Roman"/>
          <w:b/>
          <w:bCs/>
          <w:lang w:val="en-US" w:eastAsia="zh-CN"/>
        </w:rPr>
        <w:t>摘要</w:t>
      </w:r>
    </w:p>
    <w:p w14:paraId="222641BF">
      <w:pPr>
        <w:spacing w:line="360" w:lineRule="auto"/>
        <w:rPr>
          <w:rFonts w:hint="default" w:ascii="Times New Roman Regular" w:hAnsi="Times New Roman Regular" w:eastAsia="宋体" w:cs="Times New Roman Regular"/>
          <w:i w:val="0"/>
        </w:rPr>
      </w:pPr>
      <w:r>
        <w:rPr>
          <w:rFonts w:hint="default" w:ascii="Times New Roman Regular" w:hAnsi="Times New Roman Regular" w:eastAsia="宋体" w:cs="Times New Roman Regular"/>
          <w:b/>
          <w:bCs/>
          <w:i w:val="0"/>
          <w:lang w:val="en-US" w:eastAsia="zh-CN"/>
        </w:rPr>
        <w:t>背景：</w:t>
      </w:r>
      <w:r>
        <w:rPr>
          <w:rFonts w:hint="default" w:ascii="Times New Roman Regular" w:hAnsi="Times New Roman Regular" w:eastAsia="宋体" w:cs="Times New Roman Regular"/>
          <w:i w:val="0"/>
        </w:rPr>
        <w:t>流感疫苗的有效性因季节、人群、年龄组、预先存在的抗体和疫苗产品</w:t>
      </w:r>
      <w:r>
        <w:rPr>
          <w:rFonts w:hint="default" w:ascii="Times New Roman Regular" w:hAnsi="Times New Roman Regular" w:eastAsia="宋体" w:cs="Times New Roman Regular"/>
          <w:i w:val="0"/>
          <w:lang w:val="en-US" w:eastAsia="zh-CN"/>
        </w:rPr>
        <w:t>本身</w:t>
      </w:r>
      <w:r>
        <w:rPr>
          <w:rFonts w:hint="default" w:ascii="Times New Roman Regular" w:hAnsi="Times New Roman Regular" w:eastAsia="宋体" w:cs="Times New Roman Regular"/>
          <w:i w:val="0"/>
        </w:rPr>
        <w:t>而异。</w:t>
      </w:r>
      <w:r>
        <w:rPr>
          <w:rFonts w:hint="default" w:ascii="Times New Roman Regular" w:hAnsi="Times New Roman Regular" w:eastAsia="宋体" w:cs="Times New Roman Regular"/>
          <w:b/>
          <w:bCs/>
          <w:i w:val="0"/>
        </w:rPr>
        <w:t>方法</w:t>
      </w:r>
      <w:r>
        <w:rPr>
          <w:rFonts w:hint="default" w:ascii="Times New Roman Regular" w:hAnsi="Times New Roman Regular" w:eastAsia="宋体" w:cs="Times New Roman Regular"/>
          <w:b/>
          <w:bCs/>
          <w:i w:val="0"/>
          <w:lang w:eastAsia="zh-CN"/>
        </w:rPr>
        <w:t>：</w:t>
      </w:r>
      <w:r>
        <w:rPr>
          <w:rFonts w:hint="default" w:ascii="Times New Roman Regular" w:hAnsi="Times New Roman Regular" w:eastAsia="宋体" w:cs="Times New Roman Regular"/>
          <w:i w:val="0"/>
          <w:lang w:val="en-US" w:eastAsia="zh-CN"/>
        </w:rPr>
        <w:t>基于一项</w:t>
      </w:r>
      <w:r>
        <w:rPr>
          <w:rFonts w:hint="default" w:ascii="Times New Roman Regular" w:hAnsi="Times New Roman Regular" w:eastAsia="宋体" w:cs="Times New Roman Regular"/>
          <w:i w:val="0"/>
        </w:rPr>
        <w:t>3岁及以上人群</w:t>
      </w:r>
      <w:r>
        <w:rPr>
          <w:rFonts w:hint="default" w:ascii="Times New Roman Regular" w:hAnsi="Times New Roman Regular" w:eastAsia="宋体" w:cs="Times New Roman Regular"/>
          <w:i w:val="0"/>
          <w:lang w:val="en-US" w:eastAsia="zh-CN"/>
        </w:rPr>
        <w:t>开展的</w:t>
      </w:r>
      <w:r>
        <w:rPr>
          <w:rFonts w:hint="default" w:ascii="Times New Roman Regular" w:hAnsi="Times New Roman Regular" w:eastAsia="宋体" w:cs="Times New Roman Regular"/>
          <w:i w:val="0"/>
        </w:rPr>
        <w:t>随机、双盲、阳性对照四价流感疫苗(QIV)的3期临床试验</w:t>
      </w:r>
      <w:r>
        <w:rPr>
          <w:rFonts w:hint="default" w:ascii="Times New Roman Regular" w:hAnsi="Times New Roman Regular" w:eastAsia="宋体" w:cs="Times New Roman Regular"/>
          <w:i w:val="0"/>
          <w:lang w:val="en-US" w:eastAsia="zh-CN"/>
        </w:rPr>
        <w:t>中</w:t>
      </w:r>
      <w:r>
        <w:rPr>
          <w:rFonts w:hint="default" w:ascii="Times New Roman Regular" w:hAnsi="Times New Roman Regular" w:eastAsia="宋体" w:cs="Times New Roman Regular"/>
          <w:i w:val="0"/>
        </w:rPr>
        <w:t>，在接种后30天至6个月监测流感样疾病，采集鼻咽拭子样本，采用RT-PCR方法确认流感病例，然后分离病毒。应用MEGAalign软件分析流感病毒氨基酸序列变异位点。在单剂疫苗接种前第0天、接种后第30天和流感样疾病急性期</w:t>
      </w:r>
      <w:r>
        <w:rPr>
          <w:rFonts w:hint="default" w:ascii="Times New Roman Regular" w:hAnsi="Times New Roman Regular" w:eastAsia="宋体" w:cs="Times New Roman Regular"/>
          <w:i w:val="0"/>
          <w:lang w:val="en-US" w:eastAsia="zh-CN"/>
        </w:rPr>
        <w:t>采集血清以</w:t>
      </w:r>
      <w:r>
        <w:rPr>
          <w:rFonts w:hint="default" w:ascii="Times New Roman Regular" w:hAnsi="Times New Roman Regular" w:eastAsia="宋体" w:cs="Times New Roman Regular"/>
          <w:i w:val="0"/>
        </w:rPr>
        <w:t>检测血凝抑制(HI)抗体。按性别(男、女)、年龄(3-8岁、9-17岁、18-59岁、≥60岁)和疫苗组(QIV、</w:t>
      </w:r>
      <w:r>
        <w:rPr>
          <w:rFonts w:hint="default" w:ascii="Times New Roman Regular" w:hAnsi="Times New Roman Regular" w:eastAsia="宋体" w:cs="Times New Roman Regular"/>
          <w:i w:val="0"/>
          <w:lang w:val="en-US" w:eastAsia="zh-CN"/>
        </w:rPr>
        <w:t>TIV-V</w:t>
      </w:r>
      <w:r>
        <w:rPr>
          <w:rFonts w:hint="default" w:ascii="Times New Roman Regular" w:hAnsi="Times New Roman Regular" w:eastAsia="宋体" w:cs="Times New Roman Regular"/>
          <w:i w:val="0"/>
        </w:rPr>
        <w:t>ictoria和</w:t>
      </w:r>
      <w:r>
        <w:rPr>
          <w:rFonts w:hint="default" w:ascii="Times New Roman Regular" w:hAnsi="Times New Roman Regular" w:eastAsia="宋体" w:cs="Times New Roman Regular"/>
          <w:i w:val="0"/>
          <w:lang w:val="en-US" w:eastAsia="zh-CN"/>
        </w:rPr>
        <w:t>TIV-Y</w:t>
      </w:r>
      <w:r>
        <w:rPr>
          <w:rFonts w:hint="default" w:ascii="Times New Roman Regular" w:hAnsi="Times New Roman Regular" w:eastAsia="宋体" w:cs="Times New Roman Regular"/>
          <w:i w:val="0"/>
        </w:rPr>
        <w:t>amagata)设计1:4匹配的病例-对照研究，分析免疫后病例与对照组抗体水平的差异，采用病例-对照设计比较检测阴性和检测阳性流感样病例抗体水平的差异。</w:t>
      </w:r>
      <w:r>
        <w:rPr>
          <w:rFonts w:hint="default" w:ascii="Times New Roman Regular" w:hAnsi="Times New Roman Regular" w:eastAsia="宋体" w:cs="Times New Roman Regular"/>
          <w:b/>
          <w:bCs/>
          <w:i w:val="0"/>
          <w:lang w:val="en-US" w:eastAsia="zh-CN"/>
        </w:rPr>
        <w:t>结果：</w:t>
      </w:r>
      <w:r>
        <w:rPr>
          <w:rFonts w:hint="default" w:ascii="Times New Roman Regular" w:hAnsi="Times New Roman Regular" w:eastAsia="宋体" w:cs="Times New Roman Regular"/>
          <w:i w:val="0"/>
        </w:rPr>
        <w:t>2018年10月至2019年4月，在1344名参与者中，共观察到42例流感样病例，18例确诊为流感病例。与</w:t>
      </w:r>
      <w:r>
        <w:rPr>
          <w:rFonts w:hint="default" w:ascii="Times New Roman Regular" w:hAnsi="Times New Roman Regular" w:eastAsia="宋体" w:cs="Times New Roman Regular"/>
          <w:i w:val="0"/>
          <w:lang w:val="en-US" w:eastAsia="zh-CN"/>
        </w:rPr>
        <w:t>H1</w:t>
      </w:r>
      <w:r>
        <w:rPr>
          <w:rFonts w:hint="default" w:ascii="Times New Roman Regular" w:hAnsi="Times New Roman Regular" w:eastAsia="宋体" w:cs="Times New Roman Regular"/>
          <w:i w:val="0"/>
        </w:rPr>
        <w:t>N1疫苗株的氨基酸序列相比，6株A(H1N1)pdm09</w:t>
      </w:r>
      <w:r>
        <w:rPr>
          <w:rFonts w:hint="default" w:ascii="Times New Roman Regular" w:hAnsi="Times New Roman Regular" w:eastAsia="宋体" w:cs="Times New Roman Regular"/>
          <w:i w:val="0"/>
          <w:lang w:val="en-US" w:eastAsia="zh-CN"/>
        </w:rPr>
        <w:t>感染毒株发生了</w:t>
      </w:r>
      <w:r>
        <w:rPr>
          <w:rFonts w:hint="default" w:ascii="Times New Roman Regular" w:hAnsi="Times New Roman Regular" w:eastAsia="宋体" w:cs="Times New Roman Regular"/>
          <w:i w:val="0"/>
        </w:rPr>
        <w:t>2个或以上</w:t>
      </w:r>
      <w:r>
        <w:rPr>
          <w:rFonts w:hint="default" w:ascii="Times New Roman Regular" w:hAnsi="Times New Roman Regular" w:eastAsia="宋体" w:cs="Times New Roman Regular"/>
          <w:i w:val="0"/>
          <w:lang w:val="en-US" w:eastAsia="zh-CN"/>
        </w:rPr>
        <w:t>中和位点</w:t>
      </w:r>
      <w:r>
        <w:rPr>
          <w:rFonts w:hint="default" w:ascii="Times New Roman Regular" w:hAnsi="Times New Roman Regular" w:eastAsia="宋体" w:cs="Times New Roman Regular"/>
          <w:i w:val="0"/>
        </w:rPr>
        <w:t>的突变</w:t>
      </w:r>
      <w:r>
        <w:rPr>
          <w:rFonts w:hint="default" w:ascii="Times New Roman Regular" w:hAnsi="Times New Roman Regular" w:eastAsia="宋体" w:cs="Times New Roman Regular"/>
          <w:i w:val="0"/>
          <w:lang w:eastAsia="zh-CN"/>
        </w:rPr>
        <w:t>；</w:t>
      </w:r>
      <w:r>
        <w:rPr>
          <w:rFonts w:hint="default" w:ascii="Times New Roman Regular" w:hAnsi="Times New Roman Regular" w:eastAsia="宋体" w:cs="Times New Roman Regular"/>
          <w:i w:val="0"/>
          <w:lang w:val="en-US" w:eastAsia="zh-CN"/>
        </w:rPr>
        <w:t>与</w:t>
      </w:r>
      <w:r>
        <w:rPr>
          <w:rFonts w:hint="default" w:ascii="Times New Roman Regular" w:hAnsi="Times New Roman Regular" w:eastAsia="宋体" w:cs="Times New Roman Regular"/>
          <w:i w:val="0"/>
        </w:rPr>
        <w:t>H3</w:t>
      </w:r>
      <w:r>
        <w:rPr>
          <w:rFonts w:hint="default" w:ascii="Times New Roman Regular" w:hAnsi="Times New Roman Regular" w:eastAsia="宋体" w:cs="Times New Roman Regular"/>
          <w:i w:val="0"/>
          <w:lang w:val="en-US" w:eastAsia="zh-CN"/>
        </w:rPr>
        <w:t>N2</w:t>
      </w:r>
      <w:r>
        <w:rPr>
          <w:rFonts w:hint="default" w:ascii="Times New Roman Regular" w:hAnsi="Times New Roman Regular" w:eastAsia="宋体" w:cs="Times New Roman Regular"/>
          <w:i w:val="0"/>
        </w:rPr>
        <w:t>疫苗株</w:t>
      </w:r>
      <w:r>
        <w:rPr>
          <w:rFonts w:hint="default" w:ascii="Times New Roman Regular" w:hAnsi="Times New Roman Regular" w:eastAsia="宋体" w:cs="Times New Roman Regular"/>
          <w:i w:val="0"/>
          <w:lang w:val="en-US" w:eastAsia="zh-CN"/>
        </w:rPr>
        <w:t>相比，</w:t>
      </w:r>
      <w:r>
        <w:rPr>
          <w:rFonts w:hint="default" w:ascii="Times New Roman Regular" w:hAnsi="Times New Roman Regular" w:eastAsia="宋体" w:cs="Times New Roman Regular"/>
          <w:i w:val="0"/>
        </w:rPr>
        <w:t>4株A/H3N2</w:t>
      </w:r>
      <w:r>
        <w:rPr>
          <w:rFonts w:hint="default" w:ascii="Times New Roman Regular" w:hAnsi="Times New Roman Regular" w:eastAsia="宋体" w:cs="Times New Roman Regular"/>
          <w:i w:val="0"/>
          <w:lang w:val="en-US" w:eastAsia="zh-CN"/>
        </w:rPr>
        <w:t>感染毒株</w:t>
      </w:r>
      <w:r>
        <w:rPr>
          <w:rFonts w:hint="default" w:ascii="Times New Roman Regular" w:hAnsi="Times New Roman Regular" w:eastAsia="宋体" w:cs="Times New Roman Regular"/>
          <w:i w:val="0"/>
        </w:rPr>
        <w:t>在中和位点发生了4个或以上的突变。免后30</w:t>
      </w:r>
      <w:r>
        <w:rPr>
          <w:rFonts w:hint="default" w:ascii="Times New Roman Regular" w:hAnsi="Times New Roman Regular" w:eastAsia="宋体" w:cs="Times New Roman Regular"/>
          <w:i w:val="0"/>
          <w:lang w:val="en-US" w:eastAsia="zh-CN"/>
        </w:rPr>
        <w:t>天</w:t>
      </w:r>
      <w:r>
        <w:rPr>
          <w:rFonts w:hint="default" w:ascii="Times New Roman Regular" w:hAnsi="Times New Roman Regular" w:eastAsia="宋体" w:cs="Times New Roman Regular"/>
          <w:i w:val="0"/>
        </w:rPr>
        <w:t>，病例组</w:t>
      </w:r>
      <w:r>
        <w:rPr>
          <w:rFonts w:hint="default" w:ascii="Times New Roman Regular" w:hAnsi="Times New Roman Regular" w:eastAsia="宋体" w:cs="Times New Roman Regular"/>
          <w:i w:val="0"/>
          <w:lang w:val="en-US" w:eastAsia="zh-CN"/>
        </w:rPr>
        <w:t>针对</w:t>
      </w:r>
      <w:r>
        <w:rPr>
          <w:rFonts w:hint="default" w:ascii="Times New Roman Regular" w:hAnsi="Times New Roman Regular" w:eastAsia="宋体" w:cs="Times New Roman Regular"/>
          <w:i w:val="0"/>
        </w:rPr>
        <w:t>疫苗株A/Michigan/45/2015 (H1N1)pdm09和A/Singapore/INFIMH-16-0019/2016(H3N2)</w:t>
      </w:r>
      <w:r>
        <w:rPr>
          <w:rFonts w:hint="default" w:ascii="Times New Roman Regular" w:hAnsi="Times New Roman Regular" w:eastAsia="宋体" w:cs="Times New Roman Regular"/>
          <w:i w:val="0"/>
          <w:lang w:val="en-US" w:eastAsia="zh-CN"/>
        </w:rPr>
        <w:t>的HI</w:t>
      </w:r>
      <w:r>
        <w:rPr>
          <w:rFonts w:hint="default" w:ascii="Times New Roman Regular" w:hAnsi="Times New Roman Regular" w:eastAsia="宋体" w:cs="Times New Roman Regular"/>
          <w:i w:val="0"/>
        </w:rPr>
        <w:t xml:space="preserve">抗体GMTs均低于对照组(A/Michigan/45/2015 (H1N1)pdm09: RR=0.067, </w:t>
      </w:r>
      <w:r>
        <w:rPr>
          <w:rFonts w:hint="default" w:ascii="Times New Roman Regular" w:hAnsi="Times New Roman Regular" w:eastAsia="宋体" w:cs="Times New Roman Regular"/>
          <w:i w:val="0"/>
          <w:iCs/>
        </w:rPr>
        <w:t>P</w:t>
      </w:r>
      <w:r>
        <w:rPr>
          <w:rFonts w:hint="default" w:ascii="Times New Roman Regular" w:hAnsi="Times New Roman Regular" w:eastAsia="宋体" w:cs="Times New Roman Regular"/>
          <w:i w:val="0"/>
        </w:rPr>
        <w:t xml:space="preserve">=0.015;A/Singapore/INFIMH-16-0019/2016(H3N2): RR=0.369, </w:t>
      </w:r>
      <w:r>
        <w:rPr>
          <w:rFonts w:hint="default" w:ascii="Times New Roman Regular" w:hAnsi="Times New Roman Regular" w:eastAsia="宋体" w:cs="Times New Roman Regular"/>
          <w:i w:val="0"/>
          <w:iCs/>
        </w:rPr>
        <w:t>P</w:t>
      </w:r>
      <w:r>
        <w:rPr>
          <w:rFonts w:hint="default" w:ascii="Times New Roman Regular" w:hAnsi="Times New Roman Regular" w:eastAsia="宋体" w:cs="Times New Roman Regular"/>
          <w:i w:val="0"/>
        </w:rPr>
        <w:t>=0.160);</w:t>
      </w:r>
      <w:r>
        <w:rPr>
          <w:rFonts w:hint="default" w:ascii="Times New Roman Regular" w:hAnsi="Times New Roman Regular" w:eastAsia="宋体" w:cs="Times New Roman Regular"/>
          <w:i w:val="0"/>
          <w:lang w:val="en-US" w:eastAsia="zh-CN"/>
        </w:rPr>
        <w:t>免</w:t>
      </w:r>
      <w:r>
        <w:rPr>
          <w:rFonts w:hint="default" w:ascii="Times New Roman Regular" w:hAnsi="Times New Roman Regular" w:eastAsia="宋体" w:cs="Times New Roman Regular"/>
          <w:i w:val="0"/>
        </w:rPr>
        <w:t>后30</w:t>
      </w:r>
      <w:r>
        <w:rPr>
          <w:rFonts w:hint="default" w:ascii="Times New Roman Regular" w:hAnsi="Times New Roman Regular" w:eastAsia="宋体" w:cs="Times New Roman Regular"/>
          <w:i w:val="0"/>
          <w:lang w:val="en-US" w:eastAsia="zh-CN"/>
        </w:rPr>
        <w:t>天</w:t>
      </w:r>
      <w:r>
        <w:rPr>
          <w:rFonts w:hint="default" w:ascii="Times New Roman Regular" w:hAnsi="Times New Roman Regular" w:eastAsia="宋体" w:cs="Times New Roman Regular"/>
          <w:i w:val="0"/>
        </w:rPr>
        <w:t>，流感</w:t>
      </w:r>
      <w:r>
        <w:rPr>
          <w:rFonts w:hint="default" w:ascii="Times New Roman Regular" w:hAnsi="Times New Roman Regular" w:eastAsia="宋体" w:cs="Times New Roman Regular"/>
          <w:i w:val="0"/>
          <w:lang w:val="en-US" w:eastAsia="zh-CN"/>
        </w:rPr>
        <w:t>检测</w:t>
      </w:r>
      <w:r>
        <w:rPr>
          <w:rFonts w:hint="default" w:ascii="Times New Roman Regular" w:hAnsi="Times New Roman Regular" w:eastAsia="宋体" w:cs="Times New Roman Regular"/>
          <w:i w:val="0"/>
        </w:rPr>
        <w:t>阳性组对两种</w:t>
      </w:r>
      <w:r>
        <w:rPr>
          <w:rFonts w:hint="default" w:ascii="Times New Roman Regular" w:hAnsi="Times New Roman Regular" w:eastAsia="宋体" w:cs="Times New Roman Regular"/>
          <w:i w:val="0"/>
          <w:lang w:val="en-US" w:eastAsia="zh-CN"/>
        </w:rPr>
        <w:t>感染</w:t>
      </w:r>
      <w:r>
        <w:rPr>
          <w:rFonts w:hint="default" w:ascii="Times New Roman Regular" w:hAnsi="Times New Roman Regular" w:eastAsia="宋体" w:cs="Times New Roman Regular"/>
          <w:i w:val="0"/>
        </w:rPr>
        <w:t>毒株的抗体水平显著低于流感</w:t>
      </w:r>
      <w:r>
        <w:rPr>
          <w:rFonts w:hint="default" w:ascii="Times New Roman Regular" w:hAnsi="Times New Roman Regular" w:eastAsia="宋体" w:cs="Times New Roman Regular"/>
          <w:i w:val="0"/>
          <w:lang w:val="en-US" w:eastAsia="zh-CN"/>
        </w:rPr>
        <w:t>检测</w:t>
      </w:r>
      <w:r>
        <w:rPr>
          <w:rFonts w:hint="default" w:ascii="Times New Roman Regular" w:hAnsi="Times New Roman Regular" w:eastAsia="宋体" w:cs="Times New Roman Regular"/>
          <w:i w:val="0"/>
        </w:rPr>
        <w:t>阴性组(A/</w:t>
      </w:r>
      <w:r>
        <w:rPr>
          <w:rFonts w:hint="default" w:ascii="Times New Roman Regular" w:hAnsi="Times New Roman Regular" w:eastAsia="宋体" w:cs="Times New Roman Regular"/>
          <w:i w:val="0"/>
          <w:color w:val="000000"/>
          <w:kern w:val="2"/>
          <w:sz w:val="24"/>
          <w:szCs w:val="24"/>
          <w:lang w:val="en-US" w:eastAsia="zh-CN" w:bidi="ar"/>
        </w:rPr>
        <w:t>/Jiangsu Suining</w:t>
      </w:r>
      <w:r>
        <w:rPr>
          <w:rFonts w:hint="default" w:ascii="Times New Roman Regular" w:hAnsi="Times New Roman Regular" w:eastAsia="宋体" w:cs="Times New Roman Regular"/>
          <w:i w:val="0"/>
        </w:rPr>
        <w:t xml:space="preserve">/2019/0440(H1N1):OR=0.007, </w:t>
      </w:r>
      <w:r>
        <w:rPr>
          <w:rFonts w:hint="default" w:ascii="Times New Roman Regular" w:hAnsi="Times New Roman Regular" w:eastAsia="宋体" w:cs="Times New Roman Regular"/>
          <w:i w:val="0"/>
          <w:iCs/>
        </w:rPr>
        <w:t>P</w:t>
      </w:r>
      <w:r>
        <w:rPr>
          <w:rFonts w:hint="default" w:ascii="Times New Roman Regular" w:hAnsi="Times New Roman Regular" w:eastAsia="宋体" w:cs="Times New Roman Regular"/>
          <w:i w:val="0"/>
        </w:rPr>
        <w:t>=0.025;A/</w:t>
      </w:r>
      <w:r>
        <w:rPr>
          <w:rFonts w:hint="default" w:ascii="Times New Roman Regular" w:hAnsi="Times New Roman Regular" w:eastAsia="宋体" w:cs="Times New Roman Regular"/>
          <w:i w:val="0"/>
          <w:color w:val="000000"/>
          <w:kern w:val="2"/>
          <w:sz w:val="24"/>
          <w:szCs w:val="24"/>
          <w:lang w:val="en-US" w:eastAsia="zh-CN" w:bidi="ar"/>
        </w:rPr>
        <w:t>/Jiangsu Suining</w:t>
      </w:r>
      <w:r>
        <w:rPr>
          <w:rFonts w:hint="default" w:ascii="Times New Roman Regular" w:hAnsi="Times New Roman Regular" w:eastAsia="宋体" w:cs="Times New Roman Regular"/>
          <w:i w:val="0"/>
        </w:rPr>
        <w:t xml:space="preserve">/2019/0520(H1N1):OR=0.002, </w:t>
      </w:r>
      <w:r>
        <w:rPr>
          <w:rFonts w:hint="default" w:ascii="Times New Roman Regular" w:hAnsi="Times New Roman Regular" w:eastAsia="宋体" w:cs="Times New Roman Regular"/>
          <w:i w:val="0"/>
          <w:iCs/>
        </w:rPr>
        <w:t>P</w:t>
      </w:r>
      <w:r>
        <w:rPr>
          <w:rFonts w:hint="default" w:ascii="Times New Roman Regular" w:hAnsi="Times New Roman Regular" w:eastAsia="宋体" w:cs="Times New Roman Regular"/>
          <w:i w:val="0"/>
        </w:rPr>
        <w:t>=0.002;A/</w:t>
      </w:r>
      <w:r>
        <w:rPr>
          <w:rFonts w:hint="default" w:ascii="Times New Roman Regular" w:hAnsi="Times New Roman Regular" w:eastAsia="宋体" w:cs="Times New Roman Regular"/>
          <w:i w:val="0"/>
          <w:color w:val="000000"/>
          <w:kern w:val="2"/>
          <w:sz w:val="24"/>
          <w:szCs w:val="24"/>
          <w:lang w:val="en-US" w:eastAsia="zh-CN" w:bidi="ar"/>
        </w:rPr>
        <w:t>/Jiangsu Suining</w:t>
      </w:r>
      <w:r>
        <w:rPr>
          <w:rFonts w:hint="default" w:ascii="Times New Roman Regular" w:hAnsi="Times New Roman Regular" w:eastAsia="宋体" w:cs="Times New Roman Regular"/>
          <w:i w:val="0"/>
        </w:rPr>
        <w:t>/2019/1900 (H3N2):OR=0.062, P=0.04)。在急性期，</w:t>
      </w:r>
      <w:r>
        <w:rPr>
          <w:rFonts w:hint="default" w:ascii="Times New Roman Regular" w:hAnsi="Times New Roman Regular" w:eastAsia="宋体" w:cs="Times New Roman Regular"/>
          <w:i w:val="0"/>
          <w:lang w:val="en-US" w:eastAsia="zh-CN"/>
        </w:rPr>
        <w:t>检测</w:t>
      </w:r>
      <w:r>
        <w:rPr>
          <w:rFonts w:hint="default" w:ascii="Times New Roman Regular" w:hAnsi="Times New Roman Regular" w:eastAsia="宋体" w:cs="Times New Roman Regular"/>
          <w:i w:val="0"/>
        </w:rPr>
        <w:t xml:space="preserve">阳性病例组对疫苗株A/Michigan/45/2015 (H1N1)pdm09和A/Singapore/INFIMH-16-0019/2016(H3N2)的HI抗体GMTs均低于阴性组(A/Michigan/45/2015 (H1N1)pdm09: OR=0.018, </w:t>
      </w:r>
      <w:r>
        <w:rPr>
          <w:rFonts w:hint="default" w:ascii="Times New Roman Regular" w:hAnsi="Times New Roman Regular" w:eastAsia="宋体" w:cs="Times New Roman Regular"/>
          <w:i w:val="0"/>
          <w:iCs/>
        </w:rPr>
        <w:t>P</w:t>
      </w:r>
      <w:r>
        <w:rPr>
          <w:rFonts w:hint="default" w:ascii="Times New Roman Regular" w:hAnsi="Times New Roman Regular" w:eastAsia="宋体" w:cs="Times New Roman Regular"/>
          <w:i w:val="0"/>
        </w:rPr>
        <w:t xml:space="preserve">=0.009;A/Singapore/INFIMH-16-0019/2016(H3N2): OR=0.158, </w:t>
      </w:r>
      <w:r>
        <w:rPr>
          <w:rFonts w:hint="default" w:ascii="Times New Roman Regular" w:hAnsi="Times New Roman Regular" w:eastAsia="宋体" w:cs="Times New Roman Regular"/>
          <w:i w:val="0"/>
          <w:iCs/>
        </w:rPr>
        <w:t>P</w:t>
      </w:r>
      <w:r>
        <w:rPr>
          <w:rFonts w:hint="default" w:ascii="Times New Roman Regular" w:hAnsi="Times New Roman Regular" w:eastAsia="宋体" w:cs="Times New Roman Regular"/>
          <w:i w:val="0"/>
        </w:rPr>
        <w:t>=0.158)。</w:t>
      </w:r>
      <w:r>
        <w:rPr>
          <w:rFonts w:hint="default" w:ascii="Times New Roman Regular" w:hAnsi="Times New Roman Regular" w:eastAsia="宋体" w:cs="Times New Roman Regular"/>
          <w:b/>
          <w:bCs/>
          <w:i w:val="0"/>
        </w:rPr>
        <w:t>结论</w:t>
      </w:r>
      <w:r>
        <w:rPr>
          <w:rFonts w:hint="default" w:ascii="Times New Roman Regular" w:hAnsi="Times New Roman Regular" w:eastAsia="宋体" w:cs="Times New Roman Regular"/>
          <w:b/>
          <w:bCs/>
          <w:i w:val="0"/>
          <w:lang w:eastAsia="zh-CN"/>
        </w:rPr>
        <w:t>：</w:t>
      </w:r>
      <w:r>
        <w:rPr>
          <w:rFonts w:hint="default" w:ascii="Times New Roman Regular" w:hAnsi="Times New Roman Regular" w:eastAsia="宋体" w:cs="Times New Roman Regular"/>
          <w:i w:val="0"/>
          <w:lang w:val="en-US" w:eastAsia="zh-CN"/>
        </w:rPr>
        <w:t>疫苗</w:t>
      </w:r>
      <w:r>
        <w:rPr>
          <w:rFonts w:hint="default" w:ascii="Times New Roman Regular" w:hAnsi="Times New Roman Regular" w:eastAsia="宋体" w:cs="Times New Roman Regular"/>
          <w:i w:val="0"/>
        </w:rPr>
        <w:t>接种后发生流感</w:t>
      </w:r>
      <w:r>
        <w:rPr>
          <w:rFonts w:hint="default" w:ascii="Times New Roman Regular" w:hAnsi="Times New Roman Regular" w:eastAsia="宋体" w:cs="Times New Roman Regular"/>
          <w:i w:val="0"/>
          <w:lang w:val="en-US" w:eastAsia="zh-CN"/>
        </w:rPr>
        <w:t>病毒感染</w:t>
      </w:r>
      <w:r>
        <w:rPr>
          <w:rFonts w:hint="default" w:ascii="Times New Roman Regular" w:hAnsi="Times New Roman Regular" w:eastAsia="宋体" w:cs="Times New Roman Regular"/>
          <w:i w:val="0"/>
        </w:rPr>
        <w:t>的原因首先考虑当地流行毒株与疫苗株不匹配;</w:t>
      </w:r>
      <w:r>
        <w:rPr>
          <w:rFonts w:hint="default" w:ascii="Times New Roman Regular" w:hAnsi="Times New Roman Regular" w:eastAsia="宋体" w:cs="Times New Roman Regular"/>
          <w:i w:val="0"/>
          <w:lang w:val="en-US" w:eastAsia="zh-CN"/>
        </w:rPr>
        <w:t>而</w:t>
      </w:r>
      <w:r>
        <w:rPr>
          <w:rFonts w:hint="default" w:ascii="Times New Roman Regular" w:hAnsi="Times New Roman Regular" w:eastAsia="宋体" w:cs="Times New Roman Regular"/>
          <w:i w:val="0"/>
        </w:rPr>
        <w:t>疫苗诱导的低抗体水平</w:t>
      </w:r>
      <w:r>
        <w:rPr>
          <w:rFonts w:hint="default" w:ascii="Times New Roman Regular" w:hAnsi="Times New Roman Regular" w:eastAsia="宋体" w:cs="Times New Roman Regular"/>
          <w:i w:val="0"/>
          <w:lang w:val="en-US" w:eastAsia="zh-CN"/>
        </w:rPr>
        <w:t>以及</w:t>
      </w:r>
      <w:r>
        <w:rPr>
          <w:rFonts w:hint="default" w:ascii="Times New Roman Regular" w:hAnsi="Times New Roman Regular" w:eastAsia="宋体" w:cs="Times New Roman Regular"/>
          <w:i w:val="0"/>
        </w:rPr>
        <w:t>针对变异株</w:t>
      </w:r>
      <w:r>
        <w:rPr>
          <w:rFonts w:hint="default" w:ascii="Times New Roman Regular" w:hAnsi="Times New Roman Regular" w:eastAsia="宋体" w:cs="Times New Roman Regular"/>
          <w:i w:val="0"/>
          <w:lang w:val="en-US" w:eastAsia="zh-CN"/>
        </w:rPr>
        <w:t>更低的</w:t>
      </w:r>
      <w:r>
        <w:rPr>
          <w:rFonts w:hint="default" w:ascii="Times New Roman Regular" w:hAnsi="Times New Roman Regular" w:eastAsia="宋体" w:cs="Times New Roman Regular"/>
          <w:i w:val="0"/>
        </w:rPr>
        <w:t>交叉反应抗体水平</w:t>
      </w:r>
      <w:r>
        <w:rPr>
          <w:rFonts w:hint="default" w:ascii="Times New Roman Regular" w:hAnsi="Times New Roman Regular" w:eastAsia="宋体" w:cs="Times New Roman Regular"/>
          <w:i w:val="0"/>
          <w:lang w:val="en-US" w:eastAsia="zh-CN"/>
        </w:rPr>
        <w:t>共同导致暴露于流感变异株</w:t>
      </w:r>
      <w:r>
        <w:rPr>
          <w:rFonts w:hint="default" w:ascii="Times New Roman Regular" w:hAnsi="Times New Roman Regular" w:eastAsia="宋体" w:cs="Times New Roman Regular"/>
          <w:i w:val="0"/>
        </w:rPr>
        <w:t>。</w:t>
      </w:r>
    </w:p>
    <w:p w14:paraId="4DBA60CB">
      <w:pPr>
        <w:widowControl/>
        <w:spacing w:line="360" w:lineRule="auto"/>
        <w:jc w:val="left"/>
        <w:rPr>
          <w:rFonts w:hint="eastAsia" w:ascii="Times New Roman Regular" w:hAnsi="Times New Roman Regular" w:eastAsia="宋体" w:cs="Times New Roman Regular"/>
          <w:color w:val="000000"/>
          <w:lang w:val="en-US" w:eastAsia="zh-CN"/>
        </w:rPr>
      </w:pPr>
      <w:r>
        <w:rPr>
          <w:rFonts w:hint="eastAsia" w:ascii="Times New Roman Regular" w:hAnsi="Times New Roman Regular" w:cs="Times New Roman Regular"/>
          <w:b/>
          <w:bCs/>
          <w:color w:val="000000"/>
          <w:lang w:val="en-US" w:eastAsia="zh-CN"/>
        </w:rPr>
        <w:t>关键词</w:t>
      </w:r>
      <w:r>
        <w:rPr>
          <w:rFonts w:ascii="Times New Roman Regular" w:hAnsi="Times New Roman Regular" w:cs="Times New Roman Regular"/>
          <w:b/>
          <w:bCs/>
          <w:color w:val="000000"/>
        </w:rPr>
        <w:t>:</w:t>
      </w:r>
      <w:r>
        <w:rPr>
          <w:rFonts w:ascii="Times New Roman Regular" w:hAnsi="Times New Roman Regular" w:cs="Times New Roman Regular"/>
          <w:color w:val="000000"/>
        </w:rPr>
        <w:t xml:space="preserve"> </w:t>
      </w:r>
      <w:r>
        <w:rPr>
          <w:rFonts w:hint="eastAsia" w:ascii="Times New Roman Regular" w:hAnsi="Times New Roman Regular" w:cs="Times New Roman Regular"/>
          <w:color w:val="000000"/>
          <w:lang w:val="en-US" w:eastAsia="zh-CN"/>
        </w:rPr>
        <w:t>流感疫苗</w:t>
      </w:r>
      <w:r>
        <w:rPr>
          <w:rFonts w:ascii="Times New Roman Regular" w:hAnsi="Times New Roman Regular" w:cs="Times New Roman Regular"/>
          <w:color w:val="000000"/>
        </w:rPr>
        <w:t xml:space="preserve">; </w:t>
      </w:r>
      <w:r>
        <w:rPr>
          <w:rFonts w:hint="eastAsia" w:ascii="Times New Roman Regular" w:hAnsi="Times New Roman Regular" w:cs="Times New Roman Regular"/>
          <w:color w:val="000000"/>
          <w:lang w:val="en-US" w:eastAsia="zh-CN"/>
        </w:rPr>
        <w:t>抗原匹配</w:t>
      </w:r>
      <w:r>
        <w:rPr>
          <w:rFonts w:ascii="Times New Roman Regular" w:hAnsi="Times New Roman Regular" w:cs="Times New Roman Regular"/>
          <w:color w:val="000000"/>
        </w:rPr>
        <w:t xml:space="preserve">; </w:t>
      </w:r>
      <w:r>
        <w:rPr>
          <w:rFonts w:hint="eastAsia" w:ascii="Times New Roman Regular" w:hAnsi="Times New Roman Regular" w:cs="Times New Roman Regular"/>
          <w:color w:val="000000"/>
          <w:lang w:val="en-US" w:eastAsia="zh-CN"/>
        </w:rPr>
        <w:t>交叉反应抗体</w:t>
      </w:r>
      <w:r>
        <w:rPr>
          <w:rFonts w:ascii="Times New Roman Regular" w:hAnsi="Times New Roman Regular" w:cs="Times New Roman Regular"/>
          <w:color w:val="000000"/>
        </w:rPr>
        <w:t xml:space="preserve">; </w:t>
      </w:r>
      <w:r>
        <w:rPr>
          <w:rFonts w:hint="eastAsia" w:ascii="Times New Roman Regular" w:hAnsi="Times New Roman Regular" w:cs="Times New Roman Regular"/>
          <w:color w:val="000000"/>
          <w:lang w:val="en-US" w:eastAsia="zh-CN"/>
        </w:rPr>
        <w:t>流行株</w:t>
      </w:r>
      <w:r>
        <w:rPr>
          <w:rFonts w:ascii="Times New Roman Regular" w:hAnsi="Times New Roman Regular" w:cs="Times New Roman Regular"/>
          <w:color w:val="000000"/>
        </w:rPr>
        <w:t xml:space="preserve">; </w:t>
      </w:r>
      <w:r>
        <w:rPr>
          <w:rFonts w:hint="eastAsia" w:ascii="Times New Roman Regular" w:hAnsi="Times New Roman Regular" w:cs="Times New Roman Regular"/>
          <w:color w:val="000000"/>
          <w:lang w:val="en-US" w:eastAsia="zh-CN"/>
        </w:rPr>
        <w:t>发病原因</w:t>
      </w:r>
    </w:p>
    <w:p w14:paraId="0CC1C31A">
      <w:pPr>
        <w:spacing w:line="360" w:lineRule="auto"/>
        <w:rPr>
          <w:rFonts w:hint="default" w:ascii="Times New Roman Regular" w:hAnsi="Times New Roman Regular" w:eastAsia="宋体" w:cs="Times New Roman Regular"/>
          <w:i w:val="0"/>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宋体">
    <w:altName w:val="汉仪书宋二KW"/>
    <w:panose1 w:val="02010600030101010101"/>
    <w:charset w:val="86"/>
    <w:family w:val="auto"/>
    <w:pitch w:val="variable"/>
    <w:sig w:usb0="00000203" w:usb1="288F0000" w:usb2="00000016" w:usb3="00000000" w:csb0="00040001" w:csb1="00000000"/>
  </w:font>
  <w:font w:name="Cambria Math">
    <w:altName w:val="Kingsoft Math"/>
    <w:panose1 w:val="02040503050406030204"/>
    <w:charset w:val="00"/>
    <w:family w:val="auto"/>
    <w:pitch w:val="variable"/>
    <w:sig w:usb0="E00002FF" w:usb1="420024FF" w:usb2="00000000" w:usb3="00000000" w:csb0="0000019F" w:csb1="00000000"/>
  </w:font>
  <w:font w:name="Helvetica">
    <w:panose1 w:val="00000000000000000000"/>
    <w:charset w:val="00"/>
    <w:family w:val="auto"/>
    <w:pitch w:val="variable"/>
    <w:sig w:usb0="E00002FF" w:usb1="5000785B" w:usb2="00000000" w:usb3="00000000" w:csb0="2000019F" w:csb1="4F010000"/>
  </w:font>
  <w:font w:name="Kingsoft Sign">
    <w:panose1 w:val="05050102010706020507"/>
    <w:charset w:val="00"/>
    <w:family w:val="auto"/>
    <w:pitch w:val="default"/>
    <w:sig w:usb0="00000000" w:usb1="10000000" w:usb2="00000000" w:usb3="00000000" w:csb0="00000001" w:csb1="00000000"/>
  </w:font>
  <w:font w:name="Kingsoft Math">
    <w:panose1 w:val="02040503050406030204"/>
    <w:charset w:val="00"/>
    <w:family w:val="auto"/>
    <w:pitch w:val="default"/>
    <w:sig w:usb0="80000087" w:usb1="00002068" w:usb2="00000000" w:usb3="00000000" w:csb0="2000019F" w:csb1="00000000"/>
  </w:font>
  <w:font w:name="Times New Roman Regular">
    <w:panose1 w:val="02020603050405020304"/>
    <w:charset w:val="00"/>
    <w:family w:val="auto"/>
    <w:pitch w:val="default"/>
    <w:sig w:usb0="E0002AEF" w:usb1="C0007841" w:usb2="00000009" w:usb3="00000000" w:csb0="400001FF" w:csb1="FFFF0000"/>
  </w:font>
  <w:font w:name="DLF">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 w:name="楷体">
    <w:altName w:val="汉仪楷体KW"/>
    <w:panose1 w:val="00000000000000000000"/>
    <w:charset w:val="00"/>
    <w:family w:val="auto"/>
    <w:pitch w:val="default"/>
    <w:sig w:usb0="00000000" w:usb1="00000000" w:usb2="00000000" w:usb3="00000000" w:csb0="00000000" w:csb1="00000000"/>
  </w:font>
  <w:font w:name="汉仪楷体KW">
    <w:panose1 w:val="00020600040101010101"/>
    <w:charset w:val="86"/>
    <w:family w:val="auto"/>
    <w:pitch w:val="default"/>
    <w:sig w:usb0="A00002BF" w:usb1="18EF7CFA" w:usb2="00000016" w:usb3="00000000" w:csb0="00040000" w:csb1="00000000"/>
  </w:font>
  <w:font w:name="仿宋">
    <w:altName w:val="方正仿宋_GBK"/>
    <w:panose1 w:val="00000000000000000000"/>
    <w:charset w:val="00"/>
    <w:family w:val="auto"/>
    <w:pitch w:val="default"/>
    <w:sig w:usb0="00000000" w:usb1="00000000" w:usb2="00000000" w:usb3="00000000" w:csb0="00000000" w:csb1="00000000"/>
  </w:font>
  <w:font w:name="方正仿宋_GBK">
    <w:panose1 w:val="02000000000000000000"/>
    <w:charset w:val="86"/>
    <w:family w:val="auto"/>
    <w:pitch w:val="default"/>
    <w:sig w:usb0="A00002BF" w:usb1="38CF7CFA" w:usb2="00082016" w:usb3="00000000" w:csb0="00040001" w:csb1="00000000"/>
  </w:font>
  <w:font w:name="报隶-简">
    <w:panose1 w:val="02010600040101010101"/>
    <w:charset w:val="86"/>
    <w:family w:val="auto"/>
    <w:pitch w:val="default"/>
    <w:sig w:usb0="80000287" w:usb1="280F3C52" w:usb2="00000016" w:usb3="00000000" w:csb0="0004001F" w:csb1="00000000"/>
  </w:font>
  <w:font w:name="Hiragino Sans CNS W3">
    <w:panose1 w:val="020B0300000000000000"/>
    <w:charset w:val="88"/>
    <w:family w:val="auto"/>
    <w:pitch w:val="default"/>
    <w:sig w:usb0="00000001" w:usb1="1A0F1900" w:usb2="00000016" w:usb3="00000000" w:csb0="00120005" w:csb1="00000000"/>
  </w:font>
  <w:font w:name="宋体-简">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EE4937"/>
    <w:multiLevelType w:val="singleLevel"/>
    <w:tmpl w:val="61EE4937"/>
    <w:lvl w:ilvl="0" w:tentative="0">
      <w:start w:val="1"/>
      <w:numFmt w:val="decimal"/>
      <w:pStyle w:val="2"/>
      <w:lvlText w:val="%1."/>
      <w:lvlJc w:val="left"/>
      <w:pPr>
        <w:tabs>
          <w:tab w:val="left" w:pos="420"/>
        </w:tabs>
        <w:ind w:left="425" w:leftChars="0" w:hanging="425" w:firstLineChars="0"/>
      </w:pPr>
      <w:rPr>
        <w:rFonts w:hint="default"/>
      </w:rPr>
    </w:lvl>
  </w:abstractNum>
  <w:abstractNum w:abstractNumId="1">
    <w:nsid w:val="61EE4981"/>
    <w:multiLevelType w:val="multilevel"/>
    <w:tmpl w:val="61EE4981"/>
    <w:lvl w:ilvl="0" w:tentative="0">
      <w:start w:val="1"/>
      <w:numFmt w:val="decimal"/>
      <w:pStyle w:val="9"/>
      <w:lvlText w:val="%1."/>
      <w:lvlJc w:val="left"/>
      <w:pPr>
        <w:ind w:left="425" w:leftChars="0" w:hanging="425" w:firstLineChars="0"/>
      </w:pPr>
      <w:rPr>
        <w:rFonts w:hint="default"/>
      </w:rPr>
    </w:lvl>
    <w:lvl w:ilvl="1" w:tentative="0">
      <w:start w:val="1"/>
      <w:numFmt w:val="decimal"/>
      <w:lvlText w:val="%1.%2."/>
      <w:lvlJc w:val="left"/>
      <w:pPr>
        <w:ind w:left="567" w:leftChars="0" w:hanging="567" w:firstLineChars="0"/>
      </w:pPr>
      <w:rPr>
        <w:rFonts w:hint="default"/>
      </w:rPr>
    </w:lvl>
    <w:lvl w:ilvl="2" w:tentative="0">
      <w:start w:val="1"/>
      <w:numFmt w:val="decimal"/>
      <w:lvlText w:val="%1.%2.%3."/>
      <w:lvlJc w:val="left"/>
      <w:pPr>
        <w:ind w:left="709" w:leftChars="0" w:hanging="709" w:firstLineChars="0"/>
      </w:pPr>
      <w:rPr>
        <w:rFonts w:hint="default"/>
      </w:rPr>
    </w:lvl>
    <w:lvl w:ilvl="3" w:tentative="0">
      <w:start w:val="1"/>
      <w:numFmt w:val="decimal"/>
      <w:lvlText w:val="%1.%2.%3.%4."/>
      <w:lvlJc w:val="left"/>
      <w:pPr>
        <w:ind w:left="850" w:leftChars="0" w:hanging="850" w:firstLineChars="0"/>
      </w:pPr>
      <w:rPr>
        <w:rFonts w:hint="default"/>
      </w:rPr>
    </w:lvl>
    <w:lvl w:ilvl="4" w:tentative="0">
      <w:start w:val="1"/>
      <w:numFmt w:val="decimal"/>
      <w:lvlText w:val="%1.%2.%3.%4.%5."/>
      <w:lvlJc w:val="left"/>
      <w:pPr>
        <w:ind w:left="991" w:leftChars="0" w:hanging="991" w:firstLineChars="0"/>
      </w:pPr>
      <w:rPr>
        <w:rFonts w:hint="default"/>
      </w:rPr>
    </w:lvl>
    <w:lvl w:ilvl="5" w:tentative="0">
      <w:start w:val="1"/>
      <w:numFmt w:val="decimal"/>
      <w:lvlText w:val="%1.%2.%3.%4.%5.%6."/>
      <w:lvlJc w:val="left"/>
      <w:pPr>
        <w:ind w:left="1134" w:leftChars="0" w:hanging="1134" w:firstLineChars="0"/>
      </w:pPr>
      <w:rPr>
        <w:rFonts w:hint="default"/>
      </w:rPr>
    </w:lvl>
    <w:lvl w:ilvl="6" w:tentative="0">
      <w:start w:val="1"/>
      <w:numFmt w:val="decimal"/>
      <w:lvlText w:val="%1.%2.%3.%4.%5.%6.%7."/>
      <w:lvlJc w:val="left"/>
      <w:pPr>
        <w:ind w:left="1275" w:leftChars="0" w:hanging="1275" w:firstLineChars="0"/>
      </w:pPr>
      <w:rPr>
        <w:rFonts w:hint="default"/>
      </w:rPr>
    </w:lvl>
    <w:lvl w:ilvl="7" w:tentative="0">
      <w:start w:val="1"/>
      <w:numFmt w:val="decimal"/>
      <w:lvlText w:val="%1.%2.%3.%4.%5.%6.%7.%8."/>
      <w:lvlJc w:val="left"/>
      <w:pPr>
        <w:ind w:left="1418" w:leftChars="0" w:hanging="1418" w:firstLineChars="0"/>
      </w:pPr>
      <w:rPr>
        <w:rFonts w:hint="default"/>
      </w:rPr>
    </w:lvl>
    <w:lvl w:ilvl="8" w:tentative="0">
      <w:start w:val="1"/>
      <w:numFmt w:val="decimal"/>
      <w:lvlText w:val="%1.%2.%3.%4.%5.%6.%7.%8.%9."/>
      <w:lvlJc w:val="left"/>
      <w:pPr>
        <w:ind w:left="1558" w:leftChars="0" w:hanging="1558" w:firstLineChars="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AFDF07"/>
    <w:rsid w:val="2FFF5F18"/>
    <w:rsid w:val="37BF33B7"/>
    <w:rsid w:val="396EC728"/>
    <w:rsid w:val="3D9725AB"/>
    <w:rsid w:val="5D7FC6BF"/>
    <w:rsid w:val="6FA5C8AF"/>
    <w:rsid w:val="7CFAF2B9"/>
    <w:rsid w:val="7FAFDF07"/>
    <w:rsid w:val="7FEADE5C"/>
    <w:rsid w:val="8D5F8B0B"/>
    <w:rsid w:val="BBEF2C98"/>
    <w:rsid w:val="BFFFE266"/>
    <w:rsid w:val="DCFDBE60"/>
    <w:rsid w:val="DFD77818"/>
    <w:rsid w:val="F0EAAA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240" w:lineRule="auto"/>
      <w:jc w:val="both"/>
    </w:pPr>
    <w:rPr>
      <w:rFonts w:ascii="Calibri" w:hAnsi="Calibri" w:eastAsia="宋体" w:cs="Times New Roman"/>
      <w:kern w:val="2"/>
      <w:sz w:val="24"/>
      <w:szCs w:val="22"/>
      <w:lang w:val="en-US" w:eastAsia="zh-CN" w:bidi="ar-SA"/>
    </w:rPr>
  </w:style>
  <w:style w:type="paragraph" w:styleId="2">
    <w:name w:val="heading 1"/>
    <w:basedOn w:val="1"/>
    <w:next w:val="1"/>
    <w:qFormat/>
    <w:uiPriority w:val="0"/>
    <w:pPr>
      <w:keepNext/>
      <w:keepLines/>
      <w:numPr>
        <w:ilvl w:val="0"/>
        <w:numId w:val="1"/>
      </w:numPr>
      <w:spacing w:before="130" w:beforeLines="0" w:after="130" w:afterLines="0" w:line="300" w:lineRule="auto"/>
      <w:outlineLvl w:val="0"/>
    </w:pPr>
    <w:rPr>
      <w:rFonts w:eastAsia="宋体"/>
      <w:b/>
      <w:bCs/>
      <w:kern w:val="44"/>
      <w:szCs w:val="44"/>
    </w:rPr>
  </w:style>
  <w:style w:type="character" w:default="1" w:styleId="5">
    <w:name w:val="Default Paragraph Font"/>
    <w:semiHidden/>
    <w:qFormat/>
    <w:uiPriority w:val="0"/>
  </w:style>
  <w:style w:type="table" w:default="1" w:styleId="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 w:type="paragraph" w:customStyle="1" w:styleId="7">
    <w:name w:val="样式1"/>
    <w:basedOn w:val="1"/>
    <w:qFormat/>
    <w:uiPriority w:val="0"/>
    <w:pPr>
      <w:snapToGrid w:val="0"/>
      <w:spacing w:line="276" w:lineRule="auto"/>
      <w:ind w:firstLine="601" w:firstLineChars="200"/>
    </w:pPr>
  </w:style>
  <w:style w:type="paragraph" w:customStyle="1" w:styleId="8">
    <w:name w:val="样式2"/>
    <w:basedOn w:val="2"/>
    <w:qFormat/>
    <w:uiPriority w:val="0"/>
    <w:pPr>
      <w:spacing w:before="340" w:after="330"/>
    </w:pPr>
    <w:rPr>
      <w:rFonts w:eastAsia="宋体"/>
      <w:sz w:val="24"/>
      <w:szCs w:val="44"/>
    </w:rPr>
  </w:style>
  <w:style w:type="paragraph" w:customStyle="1" w:styleId="9">
    <w:name w:val="样式3"/>
    <w:basedOn w:val="1"/>
    <w:qFormat/>
    <w:uiPriority w:val="0"/>
    <w:pPr>
      <w:numPr>
        <w:ilvl w:val="0"/>
        <w:numId w:val="2"/>
      </w:numPr>
      <w:spacing w:before="120" w:after="120"/>
    </w:pPr>
    <w:rPr>
      <w:rFonts w:eastAsia="宋体"/>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12</TotalTime>
  <ScaleCrop>false</ScaleCrop>
  <LinksUpToDate>false</LinksUpToDate>
  <CharactersWithSpaces>0</CharactersWithSpaces>
  <Application>WPS Office_6.8.2.8850_F1E327BC-269C-435d-A152-05C5408002CA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2024-07-17T09:47:00Z</dcterms:created>
  <dc:creator>Xiaochuan Jiang</dc:creator>
  <cp:lastModifiedBy>Xiaochuan Jiang</cp:lastModifiedBy>
  <dcterms:modified xsi:type="dcterms:W3CDTF">2024-07-17T10:40:42Z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2052-6.8.2.8850</vt:lpwstr>
  </property>
  <property fmtid="{D5CDD505-2E9C-101B-9397-08002B2CF9AE}" pid="3" name="ICV">
    <vt:lpwstr>7B329E3FCA105F9FAA2297665AAA0ED7_41</vt:lpwstr>
  </property>
</Properties>
</file>