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3577A" w14:textId="47F1A865" w:rsidR="00360E2A" w:rsidRDefault="00360E2A" w:rsidP="00360E2A">
      <w:pPr>
        <w:spacing w:line="480" w:lineRule="auto"/>
        <w:rPr>
          <w:b/>
          <w:bCs/>
        </w:rPr>
      </w:pPr>
      <w:bookmarkStart w:id="0" w:name="_Hlk154243070"/>
      <w:bookmarkStart w:id="1" w:name="_Hlk147528804"/>
      <w:r w:rsidRPr="00360E2A">
        <w:rPr>
          <w:b/>
          <w:bCs/>
        </w:rPr>
        <w:t xml:space="preserve">Data-Driven Subgroup Classification and Clinical Outcome Comparison in Metabolic Dysfunction-Associated </w:t>
      </w:r>
      <w:proofErr w:type="spellStart"/>
      <w:r w:rsidRPr="00360E2A">
        <w:rPr>
          <w:b/>
          <w:bCs/>
        </w:rPr>
        <w:t>Steatotic</w:t>
      </w:r>
      <w:proofErr w:type="spellEnd"/>
      <w:r w:rsidRPr="00360E2A">
        <w:rPr>
          <w:b/>
          <w:bCs/>
        </w:rPr>
        <w:t xml:space="preserve"> Liver Disease: A Comprehensive Cluster Analysis and Predict</w:t>
      </w:r>
      <w:r>
        <w:rPr>
          <w:b/>
          <w:bCs/>
        </w:rPr>
        <w:t>ion</w:t>
      </w:r>
      <w:r w:rsidRPr="00360E2A">
        <w:rPr>
          <w:b/>
          <w:bCs/>
        </w:rPr>
        <w:t xml:space="preserve"> Model Development with External Validation</w:t>
      </w:r>
    </w:p>
    <w:p w14:paraId="7CD44C62" w14:textId="103798F3" w:rsidR="00360E2A" w:rsidRPr="00527588" w:rsidRDefault="00360E2A" w:rsidP="00360E2A">
      <w:pPr>
        <w:spacing w:line="480" w:lineRule="auto"/>
        <w:rPr>
          <w:rFonts w:eastAsia="等线" w:cs="Times New Roman"/>
          <w:color w:val="000000"/>
          <w:szCs w:val="24"/>
        </w:rPr>
      </w:pPr>
      <w:r w:rsidRPr="00527588">
        <w:rPr>
          <w:rFonts w:eastAsia="等线" w:cs="Times New Roman"/>
          <w:color w:val="000000"/>
          <w:szCs w:val="24"/>
        </w:rPr>
        <w:t>Xinglong Meng</w:t>
      </w:r>
      <w:r>
        <w:rPr>
          <w:rFonts w:eastAsia="等线" w:cs="Times New Roman"/>
          <w:color w:val="000000"/>
          <w:szCs w:val="24"/>
        </w:rPr>
        <w:t xml:space="preserve"> Mph. candidate</w:t>
      </w:r>
      <w:r w:rsidRPr="00527588">
        <w:rPr>
          <w:rFonts w:eastAsia="等线" w:cs="Times New Roman"/>
          <w:color w:val="000000"/>
          <w:szCs w:val="24"/>
          <w:vertAlign w:val="superscript"/>
        </w:rPr>
        <w:t>1,2</w:t>
      </w:r>
      <w:r w:rsidRPr="00527588">
        <w:rPr>
          <w:rFonts w:eastAsia="等线" w:cs="Times New Roman"/>
          <w:color w:val="000000"/>
          <w:szCs w:val="24"/>
        </w:rPr>
        <w:t xml:space="preserve">, </w:t>
      </w:r>
      <w:proofErr w:type="spellStart"/>
      <w:r w:rsidRPr="00527588">
        <w:rPr>
          <w:rFonts w:eastAsia="等线" w:cs="Times New Roman"/>
          <w:color w:val="000000"/>
          <w:szCs w:val="24"/>
        </w:rPr>
        <w:t>Qiaorui</w:t>
      </w:r>
      <w:proofErr w:type="spellEnd"/>
      <w:r w:rsidRPr="00527588">
        <w:rPr>
          <w:rFonts w:eastAsia="等线" w:cs="Times New Roman"/>
          <w:color w:val="000000"/>
          <w:szCs w:val="24"/>
        </w:rPr>
        <w:t xml:space="preserve"> Wen</w:t>
      </w:r>
      <w:r>
        <w:rPr>
          <w:rFonts w:eastAsia="等线" w:cs="Times New Roman"/>
          <w:color w:val="000000"/>
          <w:szCs w:val="24"/>
        </w:rPr>
        <w:t xml:space="preserve"> Ph.D. candidate</w:t>
      </w:r>
      <w:r w:rsidRPr="00527588">
        <w:rPr>
          <w:rFonts w:eastAsia="等线" w:cs="Times New Roman"/>
          <w:color w:val="000000"/>
          <w:szCs w:val="24"/>
          <w:vertAlign w:val="superscript"/>
        </w:rPr>
        <w:t>1,2</w:t>
      </w:r>
      <w:r w:rsidRPr="00527588">
        <w:rPr>
          <w:rFonts w:eastAsia="等线" w:cs="Times New Roman"/>
          <w:color w:val="000000"/>
          <w:szCs w:val="24"/>
        </w:rPr>
        <w:t xml:space="preserve">, </w:t>
      </w:r>
      <w:proofErr w:type="spellStart"/>
      <w:r w:rsidRPr="00527588">
        <w:rPr>
          <w:rFonts w:eastAsia="等线" w:cs="Times New Roman"/>
          <w:color w:val="000000"/>
          <w:szCs w:val="24"/>
        </w:rPr>
        <w:t>Xiude</w:t>
      </w:r>
      <w:proofErr w:type="spellEnd"/>
      <w:r w:rsidRPr="00527588">
        <w:rPr>
          <w:rFonts w:eastAsia="等线" w:cs="Times New Roman"/>
          <w:color w:val="000000"/>
          <w:szCs w:val="24"/>
        </w:rPr>
        <w:t xml:space="preserve"> Fan</w:t>
      </w:r>
      <w:r>
        <w:rPr>
          <w:rFonts w:eastAsia="等线" w:cs="Times New Roman"/>
          <w:color w:val="000000"/>
          <w:szCs w:val="24"/>
        </w:rPr>
        <w:t xml:space="preserve"> M.D.</w:t>
      </w:r>
      <w:r w:rsidRPr="00527588">
        <w:rPr>
          <w:rFonts w:eastAsia="等线" w:cs="Times New Roman"/>
          <w:color w:val="000000"/>
          <w:szCs w:val="24"/>
          <w:vertAlign w:val="superscript"/>
        </w:rPr>
        <w:t>3,4,5,6,7</w:t>
      </w:r>
      <w:r w:rsidRPr="00527588">
        <w:rPr>
          <w:rFonts w:eastAsia="等线" w:cs="Times New Roman"/>
          <w:color w:val="000000"/>
          <w:szCs w:val="24"/>
        </w:rPr>
        <w:t xml:space="preserve"> Yang Xu</w:t>
      </w:r>
      <w:r>
        <w:rPr>
          <w:rFonts w:eastAsia="等线" w:cs="Times New Roman"/>
          <w:color w:val="000000"/>
          <w:szCs w:val="24"/>
        </w:rPr>
        <w:t xml:space="preserve"> Ph.D.</w:t>
      </w:r>
      <w:r w:rsidRPr="00527588">
        <w:rPr>
          <w:rFonts w:eastAsia="等线" w:cs="Times New Roman"/>
          <w:color w:val="000000"/>
          <w:szCs w:val="24"/>
          <w:vertAlign w:val="superscript"/>
        </w:rPr>
        <w:t>8</w:t>
      </w:r>
      <w:r w:rsidRPr="00527588">
        <w:rPr>
          <w:rFonts w:eastAsia="等线" w:cs="Times New Roman"/>
          <w:color w:val="000000"/>
          <w:szCs w:val="24"/>
        </w:rPr>
        <w:t xml:space="preserve">, Lin </w:t>
      </w:r>
      <w:proofErr w:type="spellStart"/>
      <w:r w:rsidRPr="00527588">
        <w:rPr>
          <w:rFonts w:eastAsia="等线" w:cs="Times New Roman"/>
          <w:color w:val="000000"/>
          <w:szCs w:val="24"/>
        </w:rPr>
        <w:t>Zhuo</w:t>
      </w:r>
      <w:proofErr w:type="spellEnd"/>
      <w:r>
        <w:rPr>
          <w:rFonts w:eastAsia="等线" w:cs="Times New Roman"/>
          <w:color w:val="000000"/>
          <w:szCs w:val="24"/>
        </w:rPr>
        <w:t xml:space="preserve"> Ph.D.</w:t>
      </w:r>
      <w:r w:rsidRPr="00527588">
        <w:rPr>
          <w:rFonts w:eastAsia="等线" w:cs="Times New Roman"/>
          <w:color w:val="000000"/>
          <w:szCs w:val="24"/>
          <w:vertAlign w:val="superscript"/>
        </w:rPr>
        <w:t>9</w:t>
      </w:r>
      <w:r w:rsidRPr="00527588">
        <w:rPr>
          <w:rFonts w:eastAsia="等线" w:cs="Times New Roman"/>
          <w:color w:val="000000"/>
          <w:szCs w:val="24"/>
        </w:rPr>
        <w:t>, Siyan Zhan</w:t>
      </w:r>
      <w:r>
        <w:rPr>
          <w:rFonts w:eastAsia="等线" w:cs="Times New Roman"/>
          <w:color w:val="000000"/>
          <w:szCs w:val="24"/>
        </w:rPr>
        <w:t xml:space="preserve"> Ph.D.</w:t>
      </w:r>
      <w:r w:rsidRPr="00527588">
        <w:rPr>
          <w:rFonts w:eastAsia="等线" w:cs="Times New Roman"/>
          <w:color w:val="000000"/>
          <w:szCs w:val="24"/>
          <w:vertAlign w:val="superscript"/>
        </w:rPr>
        <w:t>1,2</w:t>
      </w:r>
      <w:r w:rsidRPr="00527588">
        <w:rPr>
          <w:rFonts w:eastAsia="等线" w:cs="Times New Roman"/>
          <w:color w:val="000000"/>
          <w:szCs w:val="24"/>
        </w:rPr>
        <w:t xml:space="preserve">, </w:t>
      </w:r>
      <w:proofErr w:type="spellStart"/>
      <w:r w:rsidRPr="00527588">
        <w:rPr>
          <w:rFonts w:eastAsia="等线" w:cs="Times New Roman"/>
          <w:color w:val="000000"/>
          <w:szCs w:val="24"/>
        </w:rPr>
        <w:t>Yongfeng</w:t>
      </w:r>
      <w:proofErr w:type="spellEnd"/>
      <w:r w:rsidRPr="00527588">
        <w:rPr>
          <w:rFonts w:eastAsia="等线" w:cs="Times New Roman"/>
          <w:color w:val="000000"/>
          <w:szCs w:val="24"/>
        </w:rPr>
        <w:t xml:space="preserve"> Song</w:t>
      </w:r>
      <w:r>
        <w:rPr>
          <w:rFonts w:eastAsia="等线" w:cs="Times New Roman"/>
          <w:color w:val="000000"/>
          <w:szCs w:val="24"/>
        </w:rPr>
        <w:t xml:space="preserve"> M.D.</w:t>
      </w:r>
      <w:r w:rsidRPr="00527588">
        <w:rPr>
          <w:rFonts w:eastAsia="等线" w:cs="Times New Roman"/>
          <w:color w:val="000000"/>
          <w:szCs w:val="24"/>
          <w:vertAlign w:val="superscript"/>
        </w:rPr>
        <w:t>10,†</w:t>
      </w:r>
      <w:r w:rsidRPr="00527588">
        <w:rPr>
          <w:rFonts w:eastAsia="等线" w:cs="Times New Roman"/>
          <w:color w:val="000000"/>
          <w:szCs w:val="24"/>
        </w:rPr>
        <w:t xml:space="preserve">, </w:t>
      </w:r>
      <w:proofErr w:type="spellStart"/>
      <w:r w:rsidRPr="00527588">
        <w:rPr>
          <w:rFonts w:eastAsia="等线" w:cs="Times New Roman"/>
          <w:color w:val="000000"/>
          <w:szCs w:val="24"/>
        </w:rPr>
        <w:t>Shengfeng</w:t>
      </w:r>
      <w:proofErr w:type="spellEnd"/>
      <w:r w:rsidRPr="00527588">
        <w:rPr>
          <w:rFonts w:eastAsia="等线" w:cs="Times New Roman"/>
          <w:color w:val="000000"/>
          <w:szCs w:val="24"/>
        </w:rPr>
        <w:t xml:space="preserve"> Wang</w:t>
      </w:r>
      <w:r>
        <w:rPr>
          <w:rFonts w:eastAsia="等线" w:cs="Times New Roman"/>
          <w:color w:val="000000"/>
          <w:szCs w:val="24"/>
        </w:rPr>
        <w:t xml:space="preserve"> Ph.D.</w:t>
      </w:r>
      <w:r w:rsidRPr="00527588">
        <w:rPr>
          <w:rFonts w:eastAsia="等线" w:cs="Times New Roman"/>
          <w:color w:val="000000"/>
          <w:szCs w:val="24"/>
          <w:vertAlign w:val="superscript"/>
        </w:rPr>
        <w:t>1,2,†</w:t>
      </w:r>
    </w:p>
    <w:bookmarkEnd w:id="0"/>
    <w:p w14:paraId="7783553E" w14:textId="77777777" w:rsidR="00360E2A" w:rsidRPr="00527588" w:rsidRDefault="00360E2A" w:rsidP="00360E2A">
      <w:pPr>
        <w:spacing w:line="480" w:lineRule="auto"/>
        <w:rPr>
          <w:rFonts w:eastAsia="等线" w:cs="Times New Roman"/>
          <w:color w:val="000000"/>
          <w:szCs w:val="24"/>
        </w:rPr>
      </w:pPr>
      <w:r w:rsidRPr="00527588">
        <w:rPr>
          <w:rFonts w:eastAsia="等线" w:cs="Times New Roman"/>
          <w:color w:val="000000"/>
          <w:szCs w:val="24"/>
          <w:vertAlign w:val="superscript"/>
        </w:rPr>
        <w:t xml:space="preserve">1 </w:t>
      </w:r>
      <w:r w:rsidRPr="00527588">
        <w:rPr>
          <w:rFonts w:eastAsia="等线" w:cs="Times New Roman"/>
          <w:color w:val="000000"/>
          <w:szCs w:val="24"/>
        </w:rPr>
        <w:t xml:space="preserve">Department of Epidemiology and Biostatistics, School of Public Health, Peking University Health Science Center, Beijing 100191, China </w:t>
      </w:r>
    </w:p>
    <w:p w14:paraId="046A1F4B" w14:textId="77777777" w:rsidR="00360E2A" w:rsidRPr="00527588" w:rsidRDefault="00360E2A" w:rsidP="00360E2A">
      <w:pPr>
        <w:spacing w:line="480" w:lineRule="auto"/>
        <w:rPr>
          <w:rFonts w:eastAsia="等线" w:cs="Times New Roman"/>
          <w:color w:val="000000"/>
          <w:szCs w:val="24"/>
        </w:rPr>
      </w:pPr>
      <w:r w:rsidRPr="00527588">
        <w:rPr>
          <w:rFonts w:eastAsia="等线" w:cs="Times New Roman"/>
          <w:color w:val="000000"/>
          <w:szCs w:val="24"/>
          <w:vertAlign w:val="superscript"/>
        </w:rPr>
        <w:t>2</w:t>
      </w:r>
      <w:r w:rsidRPr="00527588">
        <w:rPr>
          <w:rFonts w:eastAsia="等线" w:cs="Times New Roman"/>
          <w:color w:val="000000"/>
          <w:szCs w:val="24"/>
        </w:rPr>
        <w:t xml:space="preserve"> Key Laboratory of Epidemiology of Major Diseases (Peking University), Ministry of Education, Beijing 100191, China</w:t>
      </w:r>
    </w:p>
    <w:p w14:paraId="763F25C8" w14:textId="77777777" w:rsidR="00360E2A" w:rsidRPr="00527588" w:rsidRDefault="00360E2A" w:rsidP="00360E2A">
      <w:pPr>
        <w:spacing w:line="480" w:lineRule="auto"/>
        <w:rPr>
          <w:rFonts w:eastAsia="等线" w:cs="Times New Roman"/>
          <w:color w:val="000000"/>
          <w:szCs w:val="24"/>
          <w:vertAlign w:val="superscript"/>
        </w:rPr>
      </w:pPr>
      <w:r w:rsidRPr="00527588">
        <w:rPr>
          <w:rFonts w:eastAsia="等线" w:cs="Times New Roman"/>
          <w:color w:val="000000"/>
          <w:szCs w:val="24"/>
          <w:vertAlign w:val="superscript"/>
        </w:rPr>
        <w:t xml:space="preserve">3 </w:t>
      </w:r>
      <w:r w:rsidRPr="00527588">
        <w:rPr>
          <w:rFonts w:eastAsia="等线" w:cs="Times New Roman"/>
          <w:color w:val="000000"/>
          <w:szCs w:val="24"/>
        </w:rPr>
        <w:t>Department of Endocrinology, Shandong Provincial Hospital Affiliated to Shandong First Medical University, Jinan, Shandong 250021, China</w:t>
      </w:r>
    </w:p>
    <w:p w14:paraId="6F9969EE" w14:textId="77777777" w:rsidR="00360E2A" w:rsidRPr="00527588" w:rsidRDefault="00360E2A" w:rsidP="00360E2A">
      <w:pPr>
        <w:spacing w:line="480" w:lineRule="auto"/>
        <w:rPr>
          <w:rFonts w:eastAsia="等线" w:cs="Times New Roman"/>
          <w:color w:val="000000"/>
          <w:szCs w:val="24"/>
          <w:vertAlign w:val="superscript"/>
        </w:rPr>
      </w:pPr>
      <w:r w:rsidRPr="00527588">
        <w:rPr>
          <w:rFonts w:eastAsia="等线" w:cs="Times New Roman"/>
          <w:color w:val="000000"/>
          <w:szCs w:val="24"/>
          <w:vertAlign w:val="superscript"/>
        </w:rPr>
        <w:t xml:space="preserve">4 </w:t>
      </w:r>
      <w:r w:rsidRPr="00527588">
        <w:rPr>
          <w:rFonts w:eastAsia="等线" w:cs="Times New Roman"/>
          <w:color w:val="000000"/>
          <w:szCs w:val="24"/>
        </w:rPr>
        <w:t>Shandong Clinical Research Center of Diabetes and Metabolic Diseases, Jinan, Shandong 250021, China</w:t>
      </w:r>
    </w:p>
    <w:p w14:paraId="6B81CE76" w14:textId="77777777" w:rsidR="00360E2A" w:rsidRPr="00527588" w:rsidRDefault="00360E2A" w:rsidP="00360E2A">
      <w:pPr>
        <w:spacing w:line="480" w:lineRule="auto"/>
        <w:rPr>
          <w:rFonts w:eastAsia="等线" w:cs="Times New Roman"/>
          <w:color w:val="000000"/>
          <w:szCs w:val="24"/>
          <w:vertAlign w:val="superscript"/>
        </w:rPr>
      </w:pPr>
      <w:r w:rsidRPr="00527588">
        <w:rPr>
          <w:rFonts w:eastAsia="等线" w:cs="Times New Roman"/>
          <w:color w:val="000000"/>
          <w:szCs w:val="24"/>
          <w:vertAlign w:val="superscript"/>
        </w:rPr>
        <w:t xml:space="preserve">5 </w:t>
      </w:r>
      <w:r w:rsidRPr="00527588">
        <w:rPr>
          <w:rFonts w:eastAsia="等线" w:cs="Times New Roman"/>
          <w:color w:val="000000"/>
          <w:szCs w:val="24"/>
        </w:rPr>
        <w:t>Shandong Institute of Endocrine and Metabolic Diseases, Jinan, Shandong 250021, China</w:t>
      </w:r>
    </w:p>
    <w:p w14:paraId="6DDA8092" w14:textId="77777777" w:rsidR="00360E2A" w:rsidRPr="00527588" w:rsidRDefault="00360E2A" w:rsidP="00360E2A">
      <w:pPr>
        <w:spacing w:line="480" w:lineRule="auto"/>
        <w:rPr>
          <w:rFonts w:eastAsia="等线" w:cs="Times New Roman"/>
          <w:color w:val="000000"/>
          <w:szCs w:val="24"/>
          <w:vertAlign w:val="superscript"/>
        </w:rPr>
      </w:pPr>
      <w:r w:rsidRPr="00527588">
        <w:rPr>
          <w:rFonts w:eastAsia="等线" w:cs="Times New Roman"/>
          <w:color w:val="000000"/>
          <w:szCs w:val="24"/>
          <w:vertAlign w:val="superscript"/>
        </w:rPr>
        <w:t xml:space="preserve">6 </w:t>
      </w:r>
      <w:r w:rsidRPr="00527588">
        <w:rPr>
          <w:rFonts w:eastAsia="等线" w:cs="Times New Roman"/>
          <w:color w:val="000000"/>
          <w:szCs w:val="24"/>
        </w:rPr>
        <w:t>Shandong Engineering Laboratory of Prevention and Control for Endocrine and Metabolic Diseases, Jinan, Shandong 250021, China</w:t>
      </w:r>
    </w:p>
    <w:p w14:paraId="72835D0B" w14:textId="77777777" w:rsidR="00360E2A" w:rsidRPr="00527588" w:rsidRDefault="00360E2A" w:rsidP="00360E2A">
      <w:pPr>
        <w:spacing w:line="480" w:lineRule="auto"/>
        <w:rPr>
          <w:rFonts w:eastAsia="等线" w:cs="Times New Roman"/>
          <w:color w:val="000000"/>
          <w:szCs w:val="24"/>
        </w:rPr>
      </w:pPr>
      <w:r w:rsidRPr="00527588">
        <w:rPr>
          <w:rFonts w:eastAsia="等线" w:cs="Times New Roman"/>
          <w:color w:val="000000"/>
          <w:szCs w:val="24"/>
          <w:vertAlign w:val="superscript"/>
        </w:rPr>
        <w:t xml:space="preserve">7 </w:t>
      </w:r>
      <w:r w:rsidRPr="00527588">
        <w:rPr>
          <w:rFonts w:eastAsia="等线" w:cs="Times New Roman"/>
          <w:color w:val="000000"/>
          <w:szCs w:val="24"/>
        </w:rPr>
        <w:t>Shandong Engineering Research Center of Stem Cell and Gene Therapy for Endocrine and Metabolic Diseases, Jinan, Shandong 250021, China</w:t>
      </w:r>
    </w:p>
    <w:p w14:paraId="34956083" w14:textId="77777777" w:rsidR="00360E2A" w:rsidRPr="00527588" w:rsidRDefault="00360E2A" w:rsidP="00360E2A">
      <w:pPr>
        <w:spacing w:line="480" w:lineRule="auto"/>
        <w:rPr>
          <w:rFonts w:eastAsia="等线" w:cs="Times New Roman"/>
          <w:color w:val="000000"/>
          <w:szCs w:val="24"/>
        </w:rPr>
      </w:pPr>
      <w:r w:rsidRPr="00527588">
        <w:rPr>
          <w:rFonts w:eastAsia="等线" w:cs="Times New Roman"/>
          <w:color w:val="000000"/>
          <w:szCs w:val="24"/>
          <w:vertAlign w:val="superscript"/>
        </w:rPr>
        <w:t xml:space="preserve">8 </w:t>
      </w:r>
      <w:r w:rsidRPr="00527588">
        <w:rPr>
          <w:rFonts w:eastAsia="等线" w:cs="Times New Roman"/>
          <w:color w:val="000000"/>
          <w:szCs w:val="24"/>
        </w:rPr>
        <w:t>Clinical Research Institute, Peking University Health Science Center, Beijing 100191, China</w:t>
      </w:r>
    </w:p>
    <w:p w14:paraId="61A4629F" w14:textId="77777777" w:rsidR="00360E2A" w:rsidRPr="00527588" w:rsidRDefault="00360E2A" w:rsidP="00360E2A">
      <w:pPr>
        <w:spacing w:line="480" w:lineRule="auto"/>
        <w:rPr>
          <w:rFonts w:eastAsia="等线" w:cs="Times New Roman"/>
          <w:color w:val="000000"/>
          <w:szCs w:val="24"/>
        </w:rPr>
      </w:pPr>
      <w:r w:rsidRPr="00527588">
        <w:rPr>
          <w:rFonts w:eastAsia="等线" w:cs="Times New Roman"/>
          <w:color w:val="000000"/>
          <w:szCs w:val="24"/>
          <w:vertAlign w:val="superscript"/>
        </w:rPr>
        <w:lastRenderedPageBreak/>
        <w:t xml:space="preserve">9 </w:t>
      </w:r>
      <w:r w:rsidRPr="00527588">
        <w:rPr>
          <w:rFonts w:eastAsia="等线" w:cs="Times New Roman"/>
          <w:color w:val="000000"/>
          <w:szCs w:val="24"/>
        </w:rPr>
        <w:t>Research Center of Clinical Epidemiology, Peking University Third Hospital, Beijing 100191, China</w:t>
      </w:r>
    </w:p>
    <w:p w14:paraId="7A685037" w14:textId="77777777" w:rsidR="00360E2A" w:rsidRPr="00527588" w:rsidRDefault="00360E2A" w:rsidP="00360E2A">
      <w:pPr>
        <w:spacing w:line="480" w:lineRule="auto"/>
        <w:rPr>
          <w:rFonts w:eastAsia="等线" w:cs="Times New Roman"/>
          <w:color w:val="000000"/>
          <w:szCs w:val="24"/>
        </w:rPr>
      </w:pPr>
      <w:r w:rsidRPr="00527588">
        <w:rPr>
          <w:rFonts w:eastAsia="等线" w:cs="Times New Roman"/>
          <w:color w:val="000000"/>
          <w:szCs w:val="24"/>
          <w:vertAlign w:val="superscript"/>
        </w:rPr>
        <w:t xml:space="preserve">10 </w:t>
      </w:r>
      <w:r w:rsidRPr="00527588">
        <w:rPr>
          <w:rFonts w:eastAsia="等线" w:cs="Times New Roman"/>
          <w:color w:val="000000"/>
          <w:szCs w:val="24"/>
        </w:rPr>
        <w:t>Department of Endocrinology, Central Hospital Affiliated to Shandong First Medical University, Jinan, Shandong 250021, China</w:t>
      </w:r>
    </w:p>
    <w:p w14:paraId="0EDA41BF" w14:textId="77777777" w:rsidR="00360E2A" w:rsidRPr="00527588" w:rsidRDefault="00360E2A" w:rsidP="00360E2A">
      <w:pPr>
        <w:spacing w:line="480" w:lineRule="auto"/>
        <w:rPr>
          <w:rFonts w:eastAsia="等线" w:cs="Times New Roman"/>
          <w:color w:val="000000"/>
          <w:szCs w:val="24"/>
        </w:rPr>
      </w:pPr>
      <w:r w:rsidRPr="00527588">
        <w:rPr>
          <w:rFonts w:eastAsia="等线" w:cs="Times New Roman"/>
          <w:color w:val="000000"/>
          <w:szCs w:val="24"/>
          <w:vertAlign w:val="superscript"/>
        </w:rPr>
        <w:t xml:space="preserve">† </w:t>
      </w:r>
      <w:r w:rsidRPr="00527588">
        <w:rPr>
          <w:rFonts w:eastAsia="等线" w:cs="Times New Roman"/>
          <w:color w:val="000000"/>
          <w:szCs w:val="24"/>
        </w:rPr>
        <w:t xml:space="preserve">Joint corresponding authors </w:t>
      </w:r>
    </w:p>
    <w:p w14:paraId="66190849" w14:textId="77777777" w:rsidR="00360E2A" w:rsidRPr="00527588" w:rsidRDefault="00360E2A" w:rsidP="00360E2A">
      <w:pPr>
        <w:spacing w:line="480" w:lineRule="auto"/>
        <w:rPr>
          <w:rFonts w:eastAsia="等线" w:cs="Times New Roman"/>
          <w:b/>
          <w:bCs/>
          <w:color w:val="000000"/>
          <w:szCs w:val="24"/>
        </w:rPr>
      </w:pPr>
      <w:r w:rsidRPr="00527588">
        <w:rPr>
          <w:rFonts w:eastAsia="等线" w:cs="Times New Roman"/>
          <w:b/>
          <w:bCs/>
          <w:color w:val="000000"/>
          <w:szCs w:val="24"/>
        </w:rPr>
        <w:t>Correspondence to:</w:t>
      </w:r>
    </w:p>
    <w:p w14:paraId="695FD8CB" w14:textId="77777777" w:rsidR="00360E2A" w:rsidRPr="00527588" w:rsidRDefault="00360E2A" w:rsidP="00360E2A">
      <w:pPr>
        <w:spacing w:line="480" w:lineRule="auto"/>
        <w:rPr>
          <w:rFonts w:eastAsia="等线" w:cs="Times New Roman"/>
          <w:b/>
          <w:bCs/>
          <w:color w:val="000000"/>
          <w:szCs w:val="24"/>
        </w:rPr>
      </w:pPr>
      <w:r w:rsidRPr="00527588">
        <w:rPr>
          <w:rFonts w:eastAsia="等线" w:cs="Times New Roman"/>
          <w:b/>
          <w:bCs/>
          <w:color w:val="000000"/>
          <w:szCs w:val="24"/>
        </w:rPr>
        <w:t xml:space="preserve">Dr. </w:t>
      </w:r>
      <w:proofErr w:type="spellStart"/>
      <w:r w:rsidRPr="00527588">
        <w:rPr>
          <w:rFonts w:eastAsia="等线" w:cs="Times New Roman"/>
          <w:b/>
          <w:bCs/>
          <w:color w:val="000000"/>
          <w:szCs w:val="24"/>
        </w:rPr>
        <w:t>Shengfeng</w:t>
      </w:r>
      <w:proofErr w:type="spellEnd"/>
      <w:r w:rsidRPr="00527588">
        <w:rPr>
          <w:rFonts w:eastAsia="等线" w:cs="Times New Roman"/>
          <w:b/>
          <w:bCs/>
          <w:color w:val="000000"/>
          <w:szCs w:val="24"/>
        </w:rPr>
        <w:t xml:space="preserve"> Wang</w:t>
      </w:r>
    </w:p>
    <w:p w14:paraId="1D0CE2C1" w14:textId="77777777" w:rsidR="00360E2A" w:rsidRPr="00527588" w:rsidRDefault="00360E2A" w:rsidP="00360E2A">
      <w:pPr>
        <w:spacing w:line="480" w:lineRule="auto"/>
        <w:jc w:val="left"/>
        <w:rPr>
          <w:rFonts w:eastAsia="等线" w:cs="Times New Roman"/>
          <w:color w:val="000000"/>
          <w:szCs w:val="24"/>
        </w:rPr>
      </w:pPr>
      <w:r w:rsidRPr="00527588">
        <w:rPr>
          <w:rFonts w:eastAsia="等线" w:cs="Times New Roman"/>
          <w:color w:val="000000"/>
          <w:szCs w:val="24"/>
        </w:rPr>
        <w:t>Department of Epidemiology and Biostatistics, School of Public Health, Peking University Health Science Center; Key Laboratory of Epidemiology of Major Diseases (Peking University), Ministry of Education, Beijing 100191, China.</w:t>
      </w:r>
    </w:p>
    <w:p w14:paraId="16244F6B" w14:textId="77777777" w:rsidR="00360E2A" w:rsidRPr="00527588" w:rsidRDefault="00360E2A" w:rsidP="00360E2A">
      <w:pPr>
        <w:spacing w:line="480" w:lineRule="auto"/>
        <w:rPr>
          <w:rFonts w:eastAsia="等线" w:cs="Times New Roman"/>
          <w:color w:val="000000"/>
          <w:szCs w:val="24"/>
        </w:rPr>
      </w:pPr>
      <w:r w:rsidRPr="00527588">
        <w:rPr>
          <w:rFonts w:eastAsia="等线" w:cs="Times New Roman"/>
          <w:color w:val="000000"/>
          <w:szCs w:val="24"/>
        </w:rPr>
        <w:t>Email: shengfeng1984@126.com</w:t>
      </w:r>
    </w:p>
    <w:p w14:paraId="0A07841B" w14:textId="77777777" w:rsidR="00360E2A" w:rsidRPr="00527588" w:rsidRDefault="00360E2A" w:rsidP="00360E2A">
      <w:pPr>
        <w:spacing w:line="480" w:lineRule="auto"/>
        <w:rPr>
          <w:rFonts w:eastAsia="等线" w:cs="Times New Roman"/>
          <w:b/>
          <w:bCs/>
          <w:color w:val="000000"/>
          <w:szCs w:val="24"/>
        </w:rPr>
      </w:pPr>
      <w:r w:rsidRPr="00527588">
        <w:rPr>
          <w:rFonts w:eastAsia="等线" w:cs="Times New Roman"/>
          <w:b/>
          <w:bCs/>
          <w:color w:val="000000"/>
          <w:szCs w:val="24"/>
        </w:rPr>
        <w:t xml:space="preserve">Dr. </w:t>
      </w:r>
      <w:proofErr w:type="spellStart"/>
      <w:r w:rsidRPr="00527588">
        <w:rPr>
          <w:rFonts w:eastAsia="等线" w:cs="Times New Roman"/>
          <w:b/>
          <w:bCs/>
          <w:color w:val="000000"/>
          <w:szCs w:val="24"/>
        </w:rPr>
        <w:t>Y</w:t>
      </w:r>
      <w:r w:rsidRPr="00527588">
        <w:rPr>
          <w:rFonts w:eastAsia="等线" w:cs="Times New Roman" w:hint="eastAsia"/>
          <w:b/>
          <w:bCs/>
          <w:color w:val="000000"/>
          <w:szCs w:val="24"/>
        </w:rPr>
        <w:t>ongfeng</w:t>
      </w:r>
      <w:proofErr w:type="spellEnd"/>
      <w:r w:rsidRPr="00527588">
        <w:rPr>
          <w:rFonts w:eastAsia="等线" w:cs="Times New Roman"/>
          <w:b/>
          <w:bCs/>
          <w:color w:val="000000"/>
          <w:szCs w:val="24"/>
        </w:rPr>
        <w:t xml:space="preserve"> Song</w:t>
      </w:r>
    </w:p>
    <w:p w14:paraId="5D63B72E" w14:textId="77777777" w:rsidR="00360E2A" w:rsidRPr="00527588" w:rsidRDefault="00360E2A" w:rsidP="00360E2A">
      <w:pPr>
        <w:spacing w:line="480" w:lineRule="auto"/>
        <w:rPr>
          <w:rFonts w:eastAsia="等线" w:cs="Times New Roman"/>
          <w:color w:val="000000"/>
          <w:szCs w:val="24"/>
        </w:rPr>
      </w:pPr>
      <w:r w:rsidRPr="00527588">
        <w:rPr>
          <w:rFonts w:eastAsia="等线" w:cs="Times New Roman"/>
          <w:color w:val="000000"/>
          <w:szCs w:val="24"/>
        </w:rPr>
        <w:t>Department of Endocrinology, Central Hospital Affiliated to Shandong First Medical University, Jinan, Shandong 250021, China</w:t>
      </w:r>
      <w:r w:rsidRPr="00527588">
        <w:rPr>
          <w:rFonts w:eastAsia="等线" w:cs="Times New Roman" w:hint="eastAsia"/>
          <w:color w:val="000000"/>
          <w:szCs w:val="24"/>
        </w:rPr>
        <w:t>.</w:t>
      </w:r>
    </w:p>
    <w:p w14:paraId="5B3DB881" w14:textId="2406B4AA" w:rsidR="00360E2A" w:rsidRDefault="00360E2A" w:rsidP="00360E2A">
      <w:pPr>
        <w:spacing w:line="480" w:lineRule="auto"/>
        <w:rPr>
          <w:rFonts w:eastAsia="等线" w:cs="Times New Roman"/>
          <w:color w:val="000000"/>
          <w:szCs w:val="24"/>
        </w:rPr>
      </w:pPr>
      <w:r w:rsidRPr="00527588">
        <w:rPr>
          <w:rFonts w:eastAsia="等线" w:cs="Times New Roman"/>
          <w:color w:val="000000"/>
          <w:szCs w:val="24"/>
        </w:rPr>
        <w:t xml:space="preserve">Email: </w:t>
      </w:r>
      <w:hyperlink r:id="rId6" w:history="1">
        <w:r w:rsidR="00A4790B" w:rsidRPr="00454A9F">
          <w:rPr>
            <w:rStyle w:val="Hyperlink"/>
            <w:rFonts w:eastAsia="等线" w:cs="Times New Roman"/>
            <w:szCs w:val="24"/>
          </w:rPr>
          <w:t>syf198506@163.com</w:t>
        </w:r>
      </w:hyperlink>
    </w:p>
    <w:p w14:paraId="25326EA5" w14:textId="02F638E0" w:rsidR="00A4790B" w:rsidRDefault="00A4790B" w:rsidP="00360E2A">
      <w:pPr>
        <w:spacing w:line="480" w:lineRule="auto"/>
        <w:rPr>
          <w:rFonts w:eastAsia="等线" w:cs="Times New Roman"/>
          <w:color w:val="000000"/>
          <w:szCs w:val="24"/>
        </w:rPr>
      </w:pPr>
    </w:p>
    <w:p w14:paraId="022ED3F8" w14:textId="77777777" w:rsidR="00A4790B" w:rsidRPr="00A4790B" w:rsidRDefault="00A4790B" w:rsidP="00A4790B">
      <w:pPr>
        <w:spacing w:line="480" w:lineRule="auto"/>
        <w:outlineLvl w:val="0"/>
        <w:rPr>
          <w:rFonts w:eastAsia="Times New Roman"/>
          <w:b/>
          <w:bCs/>
          <w:kern w:val="44"/>
          <w:szCs w:val="44"/>
        </w:rPr>
      </w:pPr>
      <w:r w:rsidRPr="00A4790B">
        <w:rPr>
          <w:rFonts w:eastAsia="Times New Roman" w:hint="eastAsia"/>
          <w:b/>
          <w:bCs/>
          <w:kern w:val="44"/>
          <w:szCs w:val="44"/>
        </w:rPr>
        <w:t>A</w:t>
      </w:r>
      <w:r w:rsidRPr="00A4790B">
        <w:rPr>
          <w:rFonts w:eastAsia="Times New Roman"/>
          <w:b/>
          <w:bCs/>
          <w:kern w:val="44"/>
          <w:szCs w:val="44"/>
        </w:rPr>
        <w:t>bstract</w:t>
      </w:r>
    </w:p>
    <w:p w14:paraId="59867356" w14:textId="5ECD55C7" w:rsidR="00A4790B" w:rsidRPr="00A4790B" w:rsidRDefault="00A4790B" w:rsidP="00A4790B">
      <w:pPr>
        <w:widowControl/>
        <w:spacing w:line="480" w:lineRule="auto"/>
      </w:pPr>
      <w:r w:rsidRPr="00A4790B">
        <w:rPr>
          <w:b/>
          <w:bCs/>
        </w:rPr>
        <w:t>Background and aims</w:t>
      </w:r>
      <w:r w:rsidRPr="00A4790B">
        <w:t xml:space="preserve">: </w:t>
      </w:r>
      <w:r w:rsidR="004B7AC1" w:rsidRPr="004B7AC1">
        <w:t xml:space="preserve">Traditional classification systems of metabolic dysfunction-associated </w:t>
      </w:r>
      <w:proofErr w:type="spellStart"/>
      <w:r w:rsidR="004B7AC1" w:rsidRPr="004B7AC1">
        <w:t>steatotic</w:t>
      </w:r>
      <w:proofErr w:type="spellEnd"/>
      <w:r w:rsidR="004B7AC1" w:rsidRPr="004B7AC1">
        <w:t xml:space="preserve"> liver disease (MASLD) have failed to comprehensively account for the risks of both hepatic and extrahepatic complications, leading to limitations in risk assessment and patient management. We aimed to develop a new classification of </w:t>
      </w:r>
      <w:r w:rsidR="004B7AC1" w:rsidRPr="004B7AC1">
        <w:lastRenderedPageBreak/>
        <w:t xml:space="preserve">MASLD using metabolic parameters to more accurately identify risks of complications and to </w:t>
      </w:r>
      <w:r w:rsidR="004B7AC1">
        <w:t>develop</w:t>
      </w:r>
      <w:r w:rsidR="004B7AC1" w:rsidRPr="004B7AC1">
        <w:t xml:space="preserve"> a predictive model assist</w:t>
      </w:r>
      <w:r w:rsidR="0077730F">
        <w:t>ing</w:t>
      </w:r>
      <w:r w:rsidR="004B7AC1" w:rsidRPr="004B7AC1">
        <w:t xml:space="preserve"> clinicians in </w:t>
      </w:r>
      <w:proofErr w:type="gramStart"/>
      <w:r w:rsidR="004B7AC1" w:rsidRPr="004B7AC1">
        <w:t>patient</w:t>
      </w:r>
      <w:r w:rsidR="0077730F">
        <w:t>s</w:t>
      </w:r>
      <w:proofErr w:type="gramEnd"/>
      <w:r w:rsidR="004B7AC1" w:rsidRPr="004B7AC1">
        <w:t xml:space="preserve"> stratification.</w:t>
      </w:r>
    </w:p>
    <w:p w14:paraId="1461E64E" w14:textId="7CDA44EC" w:rsidR="0077730F" w:rsidRPr="00BE0124" w:rsidRDefault="00A4790B" w:rsidP="0077730F">
      <w:pPr>
        <w:widowControl/>
        <w:spacing w:line="480" w:lineRule="auto"/>
      </w:pPr>
      <w:r w:rsidRPr="00A4790B">
        <w:rPr>
          <w:b/>
          <w:bCs/>
        </w:rPr>
        <w:t>Methods</w:t>
      </w:r>
      <w:r w:rsidRPr="00A4790B">
        <w:t xml:space="preserve">: </w:t>
      </w:r>
      <w:r w:rsidR="0077730F" w:rsidRPr="0077730F">
        <w:t xml:space="preserve">The retrospective study included </w:t>
      </w:r>
      <w:r w:rsidR="0077730F">
        <w:t xml:space="preserve">138,144 </w:t>
      </w:r>
      <w:r w:rsidR="0077730F" w:rsidRPr="0077730F">
        <w:t>MA</w:t>
      </w:r>
      <w:r w:rsidR="0077730F">
        <w:t>S</w:t>
      </w:r>
      <w:r w:rsidR="0077730F" w:rsidRPr="0077730F">
        <w:t>LD patients from</w:t>
      </w:r>
      <w:r w:rsidR="0077730F">
        <w:t xml:space="preserve"> </w:t>
      </w:r>
      <w:r w:rsidRPr="00A4790B">
        <w:t>the UK biobank</w:t>
      </w:r>
      <w:r w:rsidR="0077730F">
        <w:t xml:space="preserve"> </w:t>
      </w:r>
      <w:r w:rsidR="0077730F" w:rsidRPr="0077730F">
        <w:t>for the development of a new classification system</w:t>
      </w:r>
      <w:r w:rsidR="0077730F">
        <w:t xml:space="preserve">, </w:t>
      </w:r>
      <w:r w:rsidR="0077730F" w:rsidRPr="0077730F">
        <w:t xml:space="preserve">which was </w:t>
      </w:r>
      <w:r w:rsidR="0077730F">
        <w:t xml:space="preserve">external </w:t>
      </w:r>
      <w:r w:rsidR="0077730F" w:rsidRPr="0077730F">
        <w:t>validated using</w:t>
      </w:r>
      <w:r w:rsidR="0077730F">
        <w:t xml:space="preserve"> </w:t>
      </w:r>
      <w:r w:rsidR="0077730F" w:rsidRPr="0077730F">
        <w:t>a Chinese cohort</w:t>
      </w:r>
      <w:r w:rsidR="0077730F">
        <w:t xml:space="preserve">. </w:t>
      </w:r>
      <w:r w:rsidR="0077730F" w:rsidRPr="0077730F">
        <w:t>Cluster analysis with k-means cluster was built using</w:t>
      </w:r>
      <w:r w:rsidR="0077730F">
        <w:t xml:space="preserve"> </w:t>
      </w:r>
      <w:r w:rsidR="00CE2900">
        <w:t>WHR</w:t>
      </w:r>
      <w:r w:rsidR="0077730F">
        <w:t>, albumin, AST, GGT, SBP, HbA1c, TG/HDL, LDL, CRP, and creatinine</w:t>
      </w:r>
      <w:r w:rsidR="00BE0124">
        <w:t xml:space="preserve"> levels. C</w:t>
      </w:r>
      <w:r w:rsidR="00BE0124" w:rsidRPr="00BE0124">
        <w:t>ompeting risk model</w:t>
      </w:r>
      <w:r w:rsidR="00BE0124">
        <w:t xml:space="preserve">s </w:t>
      </w:r>
      <w:r w:rsidR="00BE0124" w:rsidRPr="00BE0124">
        <w:t>were used to compare the risk of</w:t>
      </w:r>
      <w:r w:rsidR="00BE0124">
        <w:t xml:space="preserve"> </w:t>
      </w:r>
      <w:r w:rsidR="00BE0124" w:rsidRPr="004B7AC1">
        <w:t>both hepatic and extrahepatic complications</w:t>
      </w:r>
      <w:r w:rsidR="00BE0124">
        <w:t xml:space="preserve"> </w:t>
      </w:r>
      <w:r w:rsidR="00BE0124" w:rsidRPr="00BE0124">
        <w:t>between clusters</w:t>
      </w:r>
      <w:r w:rsidR="00BE0124">
        <w:t xml:space="preserve">. </w:t>
      </w:r>
      <w:r w:rsidR="00BE0124" w:rsidRPr="00BE0124">
        <w:t>To further translate our clustering results into clinical practice, we developed a deep neural network</w:t>
      </w:r>
      <w:r w:rsidR="008A314D">
        <w:t xml:space="preserve"> (DNN)</w:t>
      </w:r>
      <w:r w:rsidR="00BE0124" w:rsidRPr="00BE0124">
        <w:t xml:space="preserve"> model using clustering variables as predictors and cluster results as the predictive outcome</w:t>
      </w:r>
      <w:r w:rsidR="00BE0124">
        <w:t>.</w:t>
      </w:r>
    </w:p>
    <w:p w14:paraId="6C3BD660" w14:textId="6FA1787F" w:rsidR="00AC7C90" w:rsidRDefault="00A4790B" w:rsidP="00A4790B">
      <w:pPr>
        <w:widowControl/>
        <w:spacing w:line="480" w:lineRule="auto"/>
      </w:pPr>
      <w:r w:rsidRPr="00A4790B">
        <w:rPr>
          <w:b/>
          <w:bCs/>
        </w:rPr>
        <w:t>Results</w:t>
      </w:r>
      <w:r w:rsidRPr="00A4790B">
        <w:t xml:space="preserve">: </w:t>
      </w:r>
      <w:r w:rsidR="00AC7C90" w:rsidRPr="00AC7C90">
        <w:t>Five replicable clusters of MA</w:t>
      </w:r>
      <w:r w:rsidR="00AC7C90">
        <w:t>S</w:t>
      </w:r>
      <w:r w:rsidR="00AC7C90" w:rsidRPr="00AC7C90">
        <w:t>LD patients were identified: Cluster 1(</w:t>
      </w:r>
      <w:r w:rsidR="005D76B5">
        <w:t>m</w:t>
      </w:r>
      <w:r w:rsidR="005D76B5" w:rsidRPr="005D76B5">
        <w:t>etabolic health</w:t>
      </w:r>
      <w:r w:rsidR="00AC7C90" w:rsidRPr="00AC7C90">
        <w:t>), Cluster 2 (</w:t>
      </w:r>
      <w:r w:rsidR="005D76B5">
        <w:t>high SBP-</w:t>
      </w:r>
      <w:r w:rsidR="00AC7C90" w:rsidRPr="00AC7C90">
        <w:t>related), Cluster 3 (</w:t>
      </w:r>
      <w:r w:rsidR="005D76B5">
        <w:t xml:space="preserve">high </w:t>
      </w:r>
      <w:r w:rsidR="00CE2900">
        <w:t>WHR</w:t>
      </w:r>
      <w:r w:rsidR="005D76B5">
        <w:t xml:space="preserve"> and creatinine-</w:t>
      </w:r>
      <w:r w:rsidR="00AC7C90" w:rsidRPr="00AC7C90">
        <w:t>related), Cluster 4</w:t>
      </w:r>
      <w:r w:rsidR="005D76B5">
        <w:t xml:space="preserve"> (high HbA1c and </w:t>
      </w:r>
      <w:r w:rsidR="005D76B5" w:rsidRPr="005D76B5">
        <w:t>severe insulin resistance-related</w:t>
      </w:r>
      <w:r w:rsidR="005D76B5">
        <w:t>)</w:t>
      </w:r>
      <w:r w:rsidR="00AC7C90" w:rsidRPr="00AC7C90">
        <w:t>, and Cluster 5 (</w:t>
      </w:r>
      <w:r w:rsidR="005D76B5">
        <w:t>high GGT</w:t>
      </w:r>
      <w:r w:rsidR="00AC7C90" w:rsidRPr="00AC7C90">
        <w:t>-related).</w:t>
      </w:r>
      <w:r w:rsidR="005D76B5">
        <w:t xml:space="preserve"> </w:t>
      </w:r>
      <w:r w:rsidR="005D76B5" w:rsidRPr="005D76B5">
        <w:t>Patients in different clusters exhibited differences in the development of</w:t>
      </w:r>
      <w:r w:rsidR="005D76B5">
        <w:t xml:space="preserve"> </w:t>
      </w:r>
      <w:r w:rsidR="005D76B5" w:rsidRPr="004B7AC1">
        <w:t>hepatic and extrahepatic complications</w:t>
      </w:r>
      <w:r w:rsidR="005D76B5">
        <w:t xml:space="preserve">. </w:t>
      </w:r>
      <w:r w:rsidR="008A314D">
        <w:t>P</w:t>
      </w:r>
      <w:r w:rsidR="008A314D" w:rsidRPr="008A314D">
        <w:t xml:space="preserve">atients in Cluster 4 had significantly worse prognoses and higher risks of T2DM and CVD compared to those in other clusters. Additionally, patients in Cluster 5 demonstrated a higher risk of </w:t>
      </w:r>
      <w:r w:rsidR="008A314D">
        <w:t xml:space="preserve">long-term </w:t>
      </w:r>
      <w:r w:rsidR="008A314D" w:rsidRPr="008A314D">
        <w:t>liver</w:t>
      </w:r>
      <w:r w:rsidR="008A314D">
        <w:t>-related</w:t>
      </w:r>
      <w:r w:rsidR="008A314D" w:rsidRPr="008A314D">
        <w:t xml:space="preserve"> progression.</w:t>
      </w:r>
      <w:r w:rsidR="008A314D">
        <w:t xml:space="preserve"> </w:t>
      </w:r>
      <w:r w:rsidR="008A314D" w:rsidRPr="008A314D">
        <w:t xml:space="preserve">The DNN model developed based on these clustering results </w:t>
      </w:r>
      <w:r w:rsidR="008A314D" w:rsidRPr="00A4790B">
        <w:t>exhibited good performance in terms of overall performance</w:t>
      </w:r>
      <w:r w:rsidR="008A314D">
        <w:t xml:space="preserve"> </w:t>
      </w:r>
      <w:r w:rsidR="008A314D" w:rsidRPr="00A4790B">
        <w:t>(Brier’s score: 0.</w:t>
      </w:r>
      <w:r w:rsidR="008A314D">
        <w:t>10</w:t>
      </w:r>
      <w:r w:rsidR="008A314D" w:rsidRPr="00A4790B">
        <w:t>7; 95%CI: 0.07</w:t>
      </w:r>
      <w:r w:rsidR="008A314D">
        <w:t>2</w:t>
      </w:r>
      <w:r w:rsidR="008A314D" w:rsidRPr="00A4790B">
        <w:t>-0.</w:t>
      </w:r>
      <w:r w:rsidR="008A314D">
        <w:t>142</w:t>
      </w:r>
      <w:r w:rsidR="008A314D" w:rsidRPr="00A4790B">
        <w:t>), discrimination (</w:t>
      </w:r>
      <w:r w:rsidR="008A314D">
        <w:t>AUC</w:t>
      </w:r>
      <w:r w:rsidR="008A314D" w:rsidRPr="00A4790B">
        <w:t>: 0.</w:t>
      </w:r>
      <w:r w:rsidR="008A314D">
        <w:t>923</w:t>
      </w:r>
      <w:r w:rsidR="008A314D" w:rsidRPr="00A4790B">
        <w:t>; 95%CI: 0.</w:t>
      </w:r>
      <w:r w:rsidR="008A314D">
        <w:t>884</w:t>
      </w:r>
      <w:r w:rsidR="008A314D" w:rsidRPr="00A4790B">
        <w:t>-0.</w:t>
      </w:r>
      <w:r w:rsidR="008A314D">
        <w:t>963</w:t>
      </w:r>
      <w:r w:rsidR="008A314D" w:rsidRPr="00A4790B">
        <w:t>), and calibration</w:t>
      </w:r>
      <w:r w:rsidR="008A314D" w:rsidRPr="008A314D">
        <w:t>. Decision curve analysis indicated that the DNN model provided greater net benefit in patient classification compared to single metabolic indicators</w:t>
      </w:r>
    </w:p>
    <w:p w14:paraId="0083BE0D" w14:textId="4A8F3D69" w:rsidR="00A4790B" w:rsidRDefault="00A4790B" w:rsidP="008A314D">
      <w:pPr>
        <w:spacing w:line="480" w:lineRule="auto"/>
      </w:pPr>
      <w:r w:rsidRPr="00A4790B">
        <w:rPr>
          <w:rFonts w:hint="eastAsia"/>
          <w:b/>
          <w:bCs/>
        </w:rPr>
        <w:lastRenderedPageBreak/>
        <w:t>C</w:t>
      </w:r>
      <w:r w:rsidRPr="00A4790B">
        <w:rPr>
          <w:b/>
          <w:bCs/>
        </w:rPr>
        <w:t>onclusion</w:t>
      </w:r>
      <w:r w:rsidRPr="00A4790B">
        <w:t xml:space="preserve">: </w:t>
      </w:r>
      <w:bookmarkEnd w:id="1"/>
      <w:r w:rsidR="008A314D">
        <w:t>S</w:t>
      </w:r>
      <w:r w:rsidR="008A314D" w:rsidRPr="008A314D">
        <w:t>ignificant heterogeneity exists among MASLD patients. The DNN model based on the novel classification method effectively assists clinicians in stratifying MASLD patients, identifying subgroups at higher risk of hepatic and extrahepatic complications, thereby enabling stratified management and precision treatment.</w:t>
      </w:r>
    </w:p>
    <w:p w14:paraId="7433C580" w14:textId="20988A50" w:rsidR="00CE2900" w:rsidRDefault="00CE2900" w:rsidP="008A314D">
      <w:pPr>
        <w:spacing w:line="480" w:lineRule="auto"/>
      </w:pPr>
    </w:p>
    <w:p w14:paraId="16FEE160" w14:textId="6AEA7525" w:rsidR="00CE2900" w:rsidRDefault="00CE2900" w:rsidP="008A314D">
      <w:pPr>
        <w:spacing w:line="480" w:lineRule="auto"/>
      </w:pPr>
      <w:r w:rsidRPr="00E03652">
        <w:rPr>
          <w:rFonts w:hint="eastAsia"/>
          <w:b/>
          <w:bCs/>
        </w:rPr>
        <w:t>K</w:t>
      </w:r>
      <w:r w:rsidRPr="00E03652">
        <w:rPr>
          <w:b/>
          <w:bCs/>
        </w:rPr>
        <w:t>eywords</w:t>
      </w:r>
      <w:r w:rsidRPr="0073618D">
        <w:rPr>
          <w:b/>
          <w:bCs/>
        </w:rPr>
        <w:t>:</w:t>
      </w:r>
      <w:r>
        <w:t xml:space="preserve"> </w:t>
      </w:r>
      <w:r w:rsidRPr="008F015C">
        <w:t xml:space="preserve">metabolic dysfunction-associated </w:t>
      </w:r>
      <w:proofErr w:type="spellStart"/>
      <w:r w:rsidRPr="008F015C">
        <w:t>steatotic</w:t>
      </w:r>
      <w:proofErr w:type="spellEnd"/>
      <w:r w:rsidRPr="008F015C">
        <w:t xml:space="preserve"> liver disease</w:t>
      </w:r>
      <w:r>
        <w:t>;</w:t>
      </w:r>
      <w:r w:rsidRPr="00CE2900">
        <w:t xml:space="preserve"> </w:t>
      </w:r>
      <w:r w:rsidRPr="004B7AC1">
        <w:t>hepatic and extrahepatic complications</w:t>
      </w:r>
      <w:r>
        <w:t xml:space="preserve">; cluster analysis; </w:t>
      </w:r>
      <w:r>
        <w:rPr>
          <w:rFonts w:hint="eastAsia"/>
        </w:rPr>
        <w:t>prediction</w:t>
      </w:r>
      <w:r>
        <w:t xml:space="preserve"> </w:t>
      </w:r>
      <w:r>
        <w:rPr>
          <w:rFonts w:hint="eastAsia"/>
        </w:rPr>
        <w:t>model</w:t>
      </w:r>
      <w:r>
        <w:t xml:space="preserve">; </w:t>
      </w:r>
      <w:r w:rsidRPr="00DA40C7">
        <w:t>risk stratification</w:t>
      </w:r>
    </w:p>
    <w:p w14:paraId="16C3A394" w14:textId="77777777" w:rsidR="00CE2900" w:rsidRDefault="00CE2900" w:rsidP="008A314D">
      <w:pPr>
        <w:spacing w:line="480" w:lineRule="auto"/>
      </w:pPr>
    </w:p>
    <w:p w14:paraId="4F78BBF3" w14:textId="7BC42571" w:rsidR="00CE2900" w:rsidRDefault="00CE2900" w:rsidP="008A314D">
      <w:pPr>
        <w:spacing w:line="480" w:lineRule="auto"/>
        <w:rPr>
          <w:rFonts w:eastAsia="等线" w:cs="Times New Roman"/>
          <w:color w:val="000000"/>
          <w:szCs w:val="24"/>
        </w:rPr>
      </w:pPr>
      <w:r>
        <w:rPr>
          <w:rFonts w:eastAsia="等线" w:cs="Times New Roman" w:hint="eastAsia"/>
          <w:noProof/>
          <w:color w:val="000000"/>
          <w:szCs w:val="24"/>
        </w:rPr>
        <w:drawing>
          <wp:inline distT="0" distB="0" distL="0" distR="0" wp14:anchorId="74DB1A07" wp14:editId="0B09385E">
            <wp:extent cx="5274310" cy="3330575"/>
            <wp:effectExtent l="0" t="0" r="254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4310" cy="3330575"/>
                    </a:xfrm>
                    <a:prstGeom prst="rect">
                      <a:avLst/>
                    </a:prstGeom>
                  </pic:spPr>
                </pic:pic>
              </a:graphicData>
            </a:graphic>
          </wp:inline>
        </w:drawing>
      </w:r>
    </w:p>
    <w:p w14:paraId="5C3A41F7" w14:textId="77777777" w:rsidR="00CE2900" w:rsidRPr="00CE2900" w:rsidRDefault="00CE2900" w:rsidP="00CE2900">
      <w:pPr>
        <w:keepNext/>
        <w:keepLines/>
        <w:spacing w:line="360" w:lineRule="auto"/>
        <w:outlineLvl w:val="2"/>
        <w:rPr>
          <w:b/>
          <w:bCs/>
          <w:szCs w:val="32"/>
        </w:rPr>
      </w:pPr>
      <w:r w:rsidRPr="00CE2900">
        <w:rPr>
          <w:rFonts w:hint="eastAsia"/>
          <w:b/>
          <w:bCs/>
          <w:szCs w:val="32"/>
        </w:rPr>
        <w:t>Figure</w:t>
      </w:r>
      <w:r w:rsidRPr="00CE2900">
        <w:rPr>
          <w:b/>
          <w:bCs/>
          <w:szCs w:val="32"/>
        </w:rPr>
        <w:t xml:space="preserve"> 2. Distribution of features across clusters in radar plots.</w:t>
      </w:r>
    </w:p>
    <w:p w14:paraId="42017686" w14:textId="77777777" w:rsidR="00CE2900" w:rsidRPr="00CE2900" w:rsidRDefault="00CE2900" w:rsidP="00CE2900">
      <w:pPr>
        <w:widowControl/>
        <w:spacing w:line="360" w:lineRule="auto"/>
        <w:jc w:val="left"/>
      </w:pPr>
      <w:r w:rsidRPr="00CE2900">
        <w:t xml:space="preserve">All the values of cluster features were centered to a mean value of 0 and an SD of 1. (A) Cluster 1; (B) Cluster 2; (C) Cluster 3; (D) Cluster 4; (E) Cluster 5. </w:t>
      </w:r>
    </w:p>
    <w:p w14:paraId="2EDD6234" w14:textId="4D2CCBB2" w:rsidR="00CE2900" w:rsidRPr="008A314D" w:rsidRDefault="00CE2900" w:rsidP="00CE2900">
      <w:pPr>
        <w:spacing w:line="480" w:lineRule="auto"/>
        <w:rPr>
          <w:rFonts w:eastAsia="等线" w:cs="Times New Roman"/>
          <w:color w:val="000000"/>
          <w:szCs w:val="24"/>
        </w:rPr>
      </w:pPr>
      <w:r w:rsidRPr="00CE2900">
        <w:rPr>
          <w:b/>
          <w:bCs/>
        </w:rPr>
        <w:t>Abbreviations</w:t>
      </w:r>
      <w:r w:rsidRPr="00CE2900">
        <w:t xml:space="preserve">: AST, aspartate aminotransferase; GGT, gamma-glutamyl transferase; HDL, high density lipoprotein cholesterol; LDL, low density lipoprotein cholesterol; </w:t>
      </w:r>
      <w:r w:rsidRPr="00CE2900">
        <w:lastRenderedPageBreak/>
        <w:t>SBP, systolic blood pressure; TG, triglycerides; WHR, waist-to-hip ratio.</w:t>
      </w:r>
    </w:p>
    <w:sectPr w:rsidR="00CE2900" w:rsidRPr="008A31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C37A3" w14:textId="77777777" w:rsidR="009A5223" w:rsidRDefault="009A5223" w:rsidP="009A5223">
      <w:r>
        <w:separator/>
      </w:r>
    </w:p>
  </w:endnote>
  <w:endnote w:type="continuationSeparator" w:id="0">
    <w:p w14:paraId="18C4437B" w14:textId="77777777" w:rsidR="009A5223" w:rsidRDefault="009A5223" w:rsidP="009A5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0A433" w14:textId="77777777" w:rsidR="009A5223" w:rsidRDefault="009A5223" w:rsidP="009A5223">
      <w:r>
        <w:separator/>
      </w:r>
    </w:p>
  </w:footnote>
  <w:footnote w:type="continuationSeparator" w:id="0">
    <w:p w14:paraId="3A178B48" w14:textId="77777777" w:rsidR="009A5223" w:rsidRDefault="009A5223" w:rsidP="009A52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E2A"/>
    <w:rsid w:val="00360E2A"/>
    <w:rsid w:val="004B7AC1"/>
    <w:rsid w:val="005D76B5"/>
    <w:rsid w:val="0077730F"/>
    <w:rsid w:val="008A314D"/>
    <w:rsid w:val="009A5223"/>
    <w:rsid w:val="00A4790B"/>
    <w:rsid w:val="00AC7C90"/>
    <w:rsid w:val="00BE0124"/>
    <w:rsid w:val="00CE2900"/>
    <w:rsid w:val="00E325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D0A2A"/>
  <w15:chartTrackingRefBased/>
  <w15:docId w15:val="{E48378F9-5577-4983-A43C-CA33A568D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4"/>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4790B"/>
    <w:rPr>
      <w:color w:val="0563C1" w:themeColor="hyperlink"/>
      <w:u w:val="single"/>
    </w:rPr>
  </w:style>
  <w:style w:type="character" w:styleId="UnresolvedMention">
    <w:name w:val="Unresolved Mention"/>
    <w:basedOn w:val="DefaultParagraphFont"/>
    <w:uiPriority w:val="99"/>
    <w:semiHidden/>
    <w:unhideWhenUsed/>
    <w:rsid w:val="00A4790B"/>
    <w:rPr>
      <w:color w:val="605E5C"/>
      <w:shd w:val="clear" w:color="auto" w:fill="E1DFDD"/>
    </w:rPr>
  </w:style>
  <w:style w:type="paragraph" w:styleId="Header">
    <w:name w:val="header"/>
    <w:basedOn w:val="Normal"/>
    <w:link w:val="HeaderChar"/>
    <w:uiPriority w:val="99"/>
    <w:unhideWhenUsed/>
    <w:rsid w:val="009A522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9A5223"/>
    <w:rPr>
      <w:sz w:val="18"/>
      <w:szCs w:val="18"/>
    </w:rPr>
  </w:style>
  <w:style w:type="paragraph" w:styleId="Footer">
    <w:name w:val="footer"/>
    <w:basedOn w:val="Normal"/>
    <w:link w:val="FooterChar"/>
    <w:uiPriority w:val="99"/>
    <w:unhideWhenUsed/>
    <w:rsid w:val="009A522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9A52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896013">
      <w:bodyDiv w:val="1"/>
      <w:marLeft w:val="0"/>
      <w:marRight w:val="0"/>
      <w:marTop w:val="0"/>
      <w:marBottom w:val="0"/>
      <w:divBdr>
        <w:top w:val="none" w:sz="0" w:space="0" w:color="auto"/>
        <w:left w:val="none" w:sz="0" w:space="0" w:color="auto"/>
        <w:bottom w:val="none" w:sz="0" w:space="0" w:color="auto"/>
        <w:right w:val="none" w:sz="0" w:space="0" w:color="auto"/>
      </w:divBdr>
    </w:div>
    <w:div w:id="956719516">
      <w:bodyDiv w:val="1"/>
      <w:marLeft w:val="0"/>
      <w:marRight w:val="0"/>
      <w:marTop w:val="0"/>
      <w:marBottom w:val="0"/>
      <w:divBdr>
        <w:top w:val="none" w:sz="0" w:space="0" w:color="auto"/>
        <w:left w:val="none" w:sz="0" w:space="0" w:color="auto"/>
        <w:bottom w:val="none" w:sz="0" w:space="0" w:color="auto"/>
        <w:right w:val="none" w:sz="0" w:space="0" w:color="auto"/>
      </w:divBdr>
    </w:div>
    <w:div w:id="112762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yf198506@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5</Pages>
  <Words>779</Words>
  <Characters>4446</Characters>
  <Application>Microsoft Office Word</Application>
  <DocSecurity>0</DocSecurity>
  <Lines>37</Lines>
  <Paragraphs>10</Paragraphs>
  <ScaleCrop>false</ScaleCrop>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xianglong_meng16@163.com</dc:creator>
  <cp:keywords/>
  <dc:description/>
  <cp:lastModifiedBy>Yuting Han</cp:lastModifiedBy>
  <cp:revision>2</cp:revision>
  <dcterms:created xsi:type="dcterms:W3CDTF">2024-08-15T06:42:00Z</dcterms:created>
  <dcterms:modified xsi:type="dcterms:W3CDTF">2024-10-12T07:29:00Z</dcterms:modified>
</cp:coreProperties>
</file>