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71EF" w14:textId="77777777" w:rsidR="005F0E9A" w:rsidRDefault="005B1EDA">
      <w:pPr>
        <w:spacing w:line="480" w:lineRule="exact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-3"/>
          <w:kern w:val="0"/>
        </w:rPr>
      </w:pPr>
      <w:r>
        <w:rPr>
          <w:rFonts w:ascii="宋体" w:eastAsia="宋体" w:hAnsi="宋体" w:cs="宋体" w:hint="eastAsia"/>
          <w:b/>
          <w:bCs/>
          <w:snapToGrid w:val="0"/>
          <w:color w:val="000000"/>
          <w:spacing w:val="-3"/>
          <w:kern w:val="0"/>
        </w:rPr>
        <w:t>肺炎克雷伯杆菌的基因组密码：感染类型预测模型的创新构建</w:t>
      </w:r>
    </w:p>
    <w:p w14:paraId="164071F0" w14:textId="77777777" w:rsidR="005F0E9A" w:rsidRDefault="005B1EDA">
      <w:pPr>
        <w:spacing w:line="480" w:lineRule="exact"/>
        <w:jc w:val="center"/>
        <w:rPr>
          <w:rFonts w:ascii="Times New Roman" w:hAnsi="Times New Roman" w:cs="Times New Roman"/>
          <w:spacing w:val="-6"/>
          <w:position w:val="7"/>
          <w:sz w:val="14"/>
          <w:szCs w:val="14"/>
        </w:rPr>
      </w:pPr>
      <w:proofErr w:type="gramStart"/>
      <w:r>
        <w:rPr>
          <w:rFonts w:ascii="宋体" w:eastAsia="宋体" w:hAnsi="宋体" w:cs="宋体" w:hint="eastAsia"/>
          <w:sz w:val="21"/>
          <w:szCs w:val="21"/>
        </w:rPr>
        <w:t>李欣燃</w:t>
      </w:r>
      <w:proofErr w:type="gramEnd"/>
      <w:r>
        <w:rPr>
          <w:rFonts w:ascii="Times New Roman" w:hAnsi="Times New Roman" w:cs="Times New Roman"/>
          <w:spacing w:val="-6"/>
          <w:position w:val="7"/>
          <w:sz w:val="14"/>
          <w:szCs w:val="14"/>
        </w:rPr>
        <w:t>1</w:t>
      </w:r>
      <w:r>
        <w:rPr>
          <w:rFonts w:ascii="Times New Roman" w:hAnsi="Times New Roman" w:cs="Times New Roman" w:hint="eastAsia"/>
          <w:spacing w:val="-6"/>
          <w:position w:val="7"/>
          <w:sz w:val="14"/>
          <w:szCs w:val="14"/>
        </w:rPr>
        <w:t>，</w:t>
      </w:r>
      <w:r>
        <w:rPr>
          <w:rFonts w:ascii="Times New Roman" w:hAnsi="Times New Roman" w:cs="Times New Roman" w:hint="eastAsia"/>
          <w:spacing w:val="-6"/>
          <w:position w:val="7"/>
          <w:sz w:val="14"/>
          <w:szCs w:val="14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万李蓝</w:t>
      </w:r>
      <w:proofErr w:type="gramEnd"/>
      <w:r>
        <w:rPr>
          <w:rFonts w:ascii="Times New Roman" w:hAnsi="Times New Roman" w:cs="Times New Roman"/>
          <w:spacing w:val="-6"/>
          <w:position w:val="7"/>
          <w:sz w:val="14"/>
          <w:szCs w:val="14"/>
        </w:rPr>
        <w:t>1</w:t>
      </w:r>
      <w:r>
        <w:rPr>
          <w:rFonts w:ascii="Times New Roman" w:hAnsi="Times New Roman" w:cs="Times New Roman" w:hint="eastAsia"/>
          <w:spacing w:val="-6"/>
          <w:position w:val="7"/>
          <w:sz w:val="14"/>
          <w:szCs w:val="14"/>
        </w:rPr>
        <w:t>，</w:t>
      </w:r>
      <w:r>
        <w:rPr>
          <w:rFonts w:ascii="Times New Roman" w:hAnsi="Times New Roman" w:cs="Times New Roman" w:hint="eastAsia"/>
          <w:spacing w:val="-6"/>
          <w:position w:val="7"/>
          <w:sz w:val="14"/>
          <w:szCs w:val="14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，刘雄</w:t>
      </w:r>
      <w:r>
        <w:rPr>
          <w:rFonts w:ascii="Times New Roman" w:eastAsia="宋体" w:hAnsi="Times New Roman" w:cs="Times New Roman" w:hint="eastAsia"/>
          <w:spacing w:val="-6"/>
          <w:position w:val="7"/>
          <w:sz w:val="14"/>
          <w:szCs w:val="14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王长军</w:t>
      </w:r>
      <w:r>
        <w:rPr>
          <w:rFonts w:ascii="宋体" w:eastAsia="宋体" w:hAnsi="宋体" w:cs="宋体" w:hint="eastAsia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陈勇</w:t>
      </w:r>
      <w:r>
        <w:rPr>
          <w:rFonts w:ascii="Times New Roman" w:hAnsi="Times New Roman" w:cs="Times New Roman"/>
          <w:spacing w:val="-6"/>
          <w:position w:val="7"/>
          <w:sz w:val="14"/>
          <w:szCs w:val="14"/>
        </w:rPr>
        <w:t>1</w:t>
      </w:r>
      <w:r>
        <w:rPr>
          <w:rFonts w:ascii="Times New Roman" w:hAnsi="Times New Roman" w:cs="Times New Roman" w:hint="eastAsia"/>
          <w:spacing w:val="-6"/>
          <w:position w:val="7"/>
          <w:sz w:val="14"/>
          <w:szCs w:val="14"/>
        </w:rPr>
        <w:t>，</w:t>
      </w:r>
      <w:r>
        <w:rPr>
          <w:rFonts w:ascii="Times New Roman" w:hAnsi="Times New Roman" w:cs="Times New Roman" w:hint="eastAsia"/>
          <w:spacing w:val="-6"/>
          <w:position w:val="7"/>
          <w:sz w:val="14"/>
          <w:szCs w:val="14"/>
        </w:rPr>
        <w:t>2</w:t>
      </w:r>
    </w:p>
    <w:p w14:paraId="164071F1" w14:textId="77777777" w:rsidR="005F0E9A" w:rsidRDefault="005B1EDA">
      <w:pPr>
        <w:spacing w:line="480" w:lineRule="exact"/>
        <w:jc w:val="both"/>
        <w:rPr>
          <w:rFonts w:ascii="Times New Roman" w:hAnsi="Times New Roman" w:cs="Times New Roman"/>
          <w:spacing w:val="-6"/>
          <w:position w:val="7"/>
          <w:sz w:val="14"/>
          <w:szCs w:val="14"/>
        </w:rPr>
      </w:pPr>
      <w:r>
        <w:rPr>
          <w:rFonts w:ascii="Times New Roman" w:eastAsia="Times New Roman" w:hAnsi="Times New Roman" w:cs="Times New Roman" w:hint="eastAsia"/>
          <w:snapToGrid w:val="0"/>
          <w:color w:val="000000"/>
          <w:spacing w:val="-1"/>
          <w:kern w:val="0"/>
          <w:sz w:val="21"/>
          <w:szCs w:val="21"/>
        </w:rPr>
        <w:t>1.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中国医科大学公共卫生学院卫生统计学教研室，辽宁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沈阳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napToGrid w:val="0"/>
          <w:color w:val="000000"/>
          <w:spacing w:val="-1"/>
          <w:kern w:val="0"/>
          <w:sz w:val="21"/>
          <w:szCs w:val="21"/>
        </w:rPr>
        <w:t>110122</w:t>
      </w:r>
    </w:p>
    <w:p w14:paraId="164071F2" w14:textId="77777777" w:rsidR="005F0E9A" w:rsidRDefault="005B1EDA">
      <w:pPr>
        <w:spacing w:line="480" w:lineRule="exact"/>
        <w:jc w:val="both"/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</w:pP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  <w:t xml:space="preserve">2. 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中国人民解放军疾病预防控制中心，北京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100071</w:t>
      </w:r>
    </w:p>
    <w:p w14:paraId="164071F3" w14:textId="040E8BB8" w:rsidR="005F0E9A" w:rsidRDefault="005B1EDA">
      <w:pPr>
        <w:spacing w:line="480" w:lineRule="exact"/>
        <w:jc w:val="both"/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</w:pP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  <w:t>通信作者：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陈勇</w:t>
      </w: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  <w:t>，</w:t>
      </w: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  <w:t>Email</w:t>
      </w:r>
      <w:r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  <w:t>：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chenyonger@126.com</w:t>
      </w:r>
    </w:p>
    <w:p w14:paraId="164071F4" w14:textId="77777777" w:rsidR="005F0E9A" w:rsidRDefault="005B1EDA">
      <w:pPr>
        <w:spacing w:line="480" w:lineRule="exact"/>
        <w:jc w:val="both"/>
        <w:rPr>
          <w:rFonts w:ascii="宋体" w:eastAsia="宋体" w:hAnsi="宋体" w:cs="宋体"/>
          <w:snapToGrid w:val="0"/>
          <w:color w:val="000000"/>
          <w:spacing w:val="-1"/>
          <w:kern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通信地址：北京市丰台区丰台东大街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20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号院</w:t>
      </w:r>
      <w:bookmarkStart w:id="0" w:name="OLE_LINK10"/>
    </w:p>
    <w:p w14:paraId="164071F5" w14:textId="77777777" w:rsidR="005F0E9A" w:rsidRDefault="005B1EDA">
      <w:pPr>
        <w:pStyle w:val="1"/>
        <w:ind w:firstLineChars="0" w:firstLine="0"/>
      </w:pPr>
      <w:bookmarkStart w:id="1" w:name="OLE_LINK15"/>
      <w:r>
        <w:rPr>
          <w:rFonts w:ascii="宋体" w:hAnsi="宋体" w:cs="宋体"/>
          <w:snapToGrid w:val="0"/>
          <w:color w:val="000000"/>
          <w:spacing w:val="-2"/>
          <w:kern w:val="0"/>
          <w:sz w:val="21"/>
          <w:szCs w:val="21"/>
        </w:rPr>
        <w:t>【摘要】</w:t>
      </w:r>
      <w:r>
        <w:rPr>
          <w:snapToGrid w:val="0"/>
          <w:color w:val="000000"/>
          <w:spacing w:val="-2"/>
          <w:kern w:val="0"/>
          <w:sz w:val="21"/>
          <w:szCs w:val="21"/>
        </w:rPr>
        <w:t>目的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  </w:t>
      </w:r>
      <w:r>
        <w:rPr>
          <w:snapToGrid w:val="0"/>
          <w:color w:val="000000"/>
          <w:spacing w:val="-2"/>
          <w:kern w:val="0"/>
          <w:sz w:val="21"/>
          <w:szCs w:val="21"/>
        </w:rPr>
        <w:t>本研究旨在探索和构建一个基于肺炎克雷伯杆菌（</w:t>
      </w:r>
      <w:r>
        <w:rPr>
          <w:i/>
          <w:snapToGrid w:val="0"/>
          <w:color w:val="000000"/>
          <w:spacing w:val="-2"/>
          <w:kern w:val="0"/>
          <w:sz w:val="21"/>
          <w:szCs w:val="21"/>
        </w:rPr>
        <w:t>Klebsiella pneumoniae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, 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）基因组特征的感染类型预测模型，为甄别和预测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可能导致的感染类型提供新思路。</w:t>
      </w:r>
      <w:bookmarkEnd w:id="1"/>
      <w:r>
        <w:rPr>
          <w:snapToGrid w:val="0"/>
          <w:color w:val="000000"/>
          <w:spacing w:val="-2"/>
          <w:kern w:val="0"/>
          <w:sz w:val="21"/>
          <w:szCs w:val="21"/>
        </w:rPr>
        <w:t xml:space="preserve"> </w:t>
      </w:r>
      <w:r>
        <w:rPr>
          <w:snapToGrid w:val="0"/>
          <w:color w:val="000000"/>
          <w:spacing w:val="-2"/>
          <w:kern w:val="0"/>
          <w:sz w:val="21"/>
          <w:szCs w:val="21"/>
        </w:rPr>
        <w:t>方法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  </w:t>
      </w:r>
      <w:r>
        <w:rPr>
          <w:snapToGrid w:val="0"/>
          <w:color w:val="000000"/>
          <w:spacing w:val="-2"/>
          <w:kern w:val="0"/>
          <w:sz w:val="21"/>
          <w:szCs w:val="21"/>
        </w:rPr>
        <w:t>从</w:t>
      </w:r>
      <w:r>
        <w:rPr>
          <w:snapToGrid w:val="0"/>
          <w:color w:val="000000"/>
          <w:spacing w:val="-2"/>
          <w:kern w:val="0"/>
          <w:sz w:val="21"/>
          <w:szCs w:val="21"/>
        </w:rPr>
        <w:t>NCBI</w:t>
      </w:r>
      <w:r>
        <w:rPr>
          <w:snapToGrid w:val="0"/>
          <w:color w:val="000000"/>
          <w:spacing w:val="-2"/>
          <w:kern w:val="0"/>
          <w:sz w:val="21"/>
          <w:szCs w:val="21"/>
        </w:rPr>
        <w:t>数据库中</w:t>
      </w:r>
      <w:r>
        <w:rPr>
          <w:rFonts w:hint="eastAsia"/>
          <w:snapToGrid w:val="0"/>
          <w:color w:val="000000"/>
          <w:spacing w:val="-2"/>
          <w:kern w:val="0"/>
          <w:sz w:val="21"/>
          <w:szCs w:val="21"/>
        </w:rPr>
        <w:t>下载</w:t>
      </w:r>
      <w:r>
        <w:rPr>
          <w:snapToGrid w:val="0"/>
          <w:color w:val="000000"/>
          <w:spacing w:val="-2"/>
          <w:kern w:val="0"/>
          <w:sz w:val="21"/>
          <w:szCs w:val="21"/>
        </w:rPr>
        <w:t>2008-2023</w:t>
      </w:r>
      <w:r>
        <w:rPr>
          <w:snapToGrid w:val="0"/>
          <w:color w:val="000000"/>
          <w:spacing w:val="-2"/>
          <w:kern w:val="0"/>
          <w:sz w:val="21"/>
          <w:szCs w:val="21"/>
        </w:rPr>
        <w:t>年所有中国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基因组测序数据。采用</w:t>
      </w:r>
      <w:r>
        <w:rPr>
          <w:snapToGrid w:val="0"/>
          <w:color w:val="000000"/>
          <w:spacing w:val="-2"/>
          <w:kern w:val="0"/>
          <w:sz w:val="21"/>
          <w:szCs w:val="21"/>
        </w:rPr>
        <w:t>MLST</w:t>
      </w:r>
      <w:r>
        <w:rPr>
          <w:snapToGrid w:val="0"/>
          <w:color w:val="000000"/>
          <w:spacing w:val="-2"/>
          <w:kern w:val="0"/>
          <w:sz w:val="21"/>
          <w:szCs w:val="21"/>
        </w:rPr>
        <w:t>软件进行</w:t>
      </w:r>
      <w:r>
        <w:rPr>
          <w:snapToGrid w:val="0"/>
          <w:color w:val="000000"/>
          <w:spacing w:val="-2"/>
          <w:kern w:val="0"/>
          <w:sz w:val="21"/>
          <w:szCs w:val="21"/>
        </w:rPr>
        <w:t>ST</w:t>
      </w:r>
      <w:r>
        <w:rPr>
          <w:snapToGrid w:val="0"/>
          <w:color w:val="000000"/>
          <w:spacing w:val="-2"/>
          <w:kern w:val="0"/>
          <w:sz w:val="21"/>
          <w:szCs w:val="21"/>
        </w:rPr>
        <w:t>型分析，使用</w:t>
      </w:r>
      <w:r>
        <w:rPr>
          <w:snapToGrid w:val="0"/>
          <w:color w:val="000000"/>
          <w:spacing w:val="-2"/>
          <w:kern w:val="0"/>
          <w:sz w:val="21"/>
          <w:szCs w:val="21"/>
        </w:rPr>
        <w:t>Kaptive</w:t>
      </w:r>
      <w:r>
        <w:rPr>
          <w:snapToGrid w:val="0"/>
          <w:color w:val="000000"/>
          <w:spacing w:val="-2"/>
          <w:kern w:val="0"/>
          <w:sz w:val="21"/>
          <w:szCs w:val="21"/>
        </w:rPr>
        <w:t>软件进行血清型分析，使用</w:t>
      </w:r>
      <w:r>
        <w:rPr>
          <w:snapToGrid w:val="0"/>
          <w:color w:val="000000"/>
          <w:spacing w:val="-2"/>
          <w:kern w:val="0"/>
          <w:sz w:val="21"/>
          <w:szCs w:val="21"/>
        </w:rPr>
        <w:t>Abricate</w:t>
      </w:r>
      <w:r>
        <w:rPr>
          <w:snapToGrid w:val="0"/>
          <w:color w:val="000000"/>
          <w:spacing w:val="-2"/>
          <w:kern w:val="0"/>
          <w:sz w:val="21"/>
          <w:szCs w:val="21"/>
        </w:rPr>
        <w:t>软件分析菌株的耐药基因和质粒复制子基因，使用</w:t>
      </w:r>
      <w:r>
        <w:rPr>
          <w:snapToGrid w:val="0"/>
          <w:color w:val="000000"/>
          <w:spacing w:val="-2"/>
          <w:kern w:val="0"/>
          <w:sz w:val="21"/>
          <w:szCs w:val="21"/>
        </w:rPr>
        <w:t>Kleborate</w:t>
      </w:r>
      <w:r>
        <w:rPr>
          <w:snapToGrid w:val="0"/>
          <w:color w:val="000000"/>
          <w:spacing w:val="-2"/>
          <w:kern w:val="0"/>
          <w:sz w:val="21"/>
          <w:szCs w:val="21"/>
        </w:rPr>
        <w:t>分析菌株的毒力基因和毒力得分，并使用</w:t>
      </w:r>
      <w:r>
        <w:rPr>
          <w:snapToGrid w:val="0"/>
          <w:color w:val="000000"/>
          <w:spacing w:val="-2"/>
          <w:kern w:val="0"/>
          <w:sz w:val="21"/>
          <w:szCs w:val="21"/>
        </w:rPr>
        <w:t>IQ-TREE</w:t>
      </w:r>
      <w:r>
        <w:rPr>
          <w:snapToGrid w:val="0"/>
          <w:color w:val="000000"/>
          <w:spacing w:val="-2"/>
          <w:kern w:val="0"/>
          <w:sz w:val="21"/>
          <w:szCs w:val="21"/>
        </w:rPr>
        <w:t>软件进行系统发育分析。采用逻辑回归（</w:t>
      </w:r>
      <w:r>
        <w:rPr>
          <w:snapToGrid w:val="0"/>
          <w:color w:val="000000"/>
          <w:spacing w:val="-2"/>
          <w:kern w:val="0"/>
          <w:sz w:val="21"/>
          <w:szCs w:val="21"/>
        </w:rPr>
        <w:t>LR</w:t>
      </w:r>
      <w:r>
        <w:rPr>
          <w:snapToGrid w:val="0"/>
          <w:color w:val="000000"/>
          <w:spacing w:val="-2"/>
          <w:kern w:val="0"/>
          <w:sz w:val="21"/>
          <w:szCs w:val="21"/>
        </w:rPr>
        <w:t>）、决策树（</w:t>
      </w:r>
      <w:r>
        <w:rPr>
          <w:snapToGrid w:val="0"/>
          <w:color w:val="000000"/>
          <w:spacing w:val="-2"/>
          <w:kern w:val="0"/>
          <w:sz w:val="21"/>
          <w:szCs w:val="21"/>
        </w:rPr>
        <w:t>DT</w:t>
      </w:r>
      <w:r>
        <w:rPr>
          <w:snapToGrid w:val="0"/>
          <w:color w:val="000000"/>
          <w:spacing w:val="-2"/>
          <w:kern w:val="0"/>
          <w:sz w:val="21"/>
          <w:szCs w:val="21"/>
        </w:rPr>
        <w:t>）、随机森林（</w:t>
      </w:r>
      <w:r>
        <w:rPr>
          <w:snapToGrid w:val="0"/>
          <w:color w:val="000000"/>
          <w:spacing w:val="-2"/>
          <w:kern w:val="0"/>
          <w:sz w:val="21"/>
          <w:szCs w:val="21"/>
        </w:rPr>
        <w:t>RF</w:t>
      </w:r>
      <w:r>
        <w:rPr>
          <w:snapToGrid w:val="0"/>
          <w:color w:val="000000"/>
          <w:spacing w:val="-2"/>
          <w:kern w:val="0"/>
          <w:sz w:val="21"/>
          <w:szCs w:val="21"/>
        </w:rPr>
        <w:t>）、朴素贝叶斯（</w:t>
      </w:r>
      <w:r>
        <w:rPr>
          <w:snapToGrid w:val="0"/>
          <w:color w:val="000000"/>
          <w:spacing w:val="-2"/>
          <w:kern w:val="0"/>
          <w:sz w:val="21"/>
          <w:szCs w:val="21"/>
        </w:rPr>
        <w:t>NB</w:t>
      </w:r>
      <w:r>
        <w:rPr>
          <w:snapToGrid w:val="0"/>
          <w:color w:val="000000"/>
          <w:spacing w:val="-2"/>
          <w:kern w:val="0"/>
          <w:sz w:val="21"/>
          <w:szCs w:val="21"/>
        </w:rPr>
        <w:t>）、支持向量机（</w:t>
      </w:r>
      <w:r>
        <w:rPr>
          <w:snapToGrid w:val="0"/>
          <w:color w:val="000000"/>
          <w:spacing w:val="-2"/>
          <w:kern w:val="0"/>
          <w:sz w:val="21"/>
          <w:szCs w:val="21"/>
        </w:rPr>
        <w:t>SVM</w:t>
      </w:r>
      <w:r>
        <w:rPr>
          <w:snapToGrid w:val="0"/>
          <w:color w:val="000000"/>
          <w:spacing w:val="-2"/>
          <w:kern w:val="0"/>
          <w:sz w:val="21"/>
          <w:szCs w:val="21"/>
        </w:rPr>
        <w:t>）、梯度提升（</w:t>
      </w:r>
      <w:r>
        <w:rPr>
          <w:snapToGrid w:val="0"/>
          <w:color w:val="000000"/>
          <w:spacing w:val="-2"/>
          <w:kern w:val="0"/>
          <w:sz w:val="21"/>
          <w:szCs w:val="21"/>
        </w:rPr>
        <w:t>GB</w:t>
      </w:r>
      <w:r>
        <w:rPr>
          <w:snapToGrid w:val="0"/>
          <w:color w:val="000000"/>
          <w:spacing w:val="-2"/>
          <w:kern w:val="0"/>
          <w:sz w:val="21"/>
          <w:szCs w:val="21"/>
        </w:rPr>
        <w:t>）和深度</w:t>
      </w:r>
      <w:r>
        <w:rPr>
          <w:snapToGrid w:val="0"/>
          <w:color w:val="000000"/>
          <w:spacing w:val="-2"/>
          <w:kern w:val="0"/>
          <w:sz w:val="21"/>
          <w:szCs w:val="21"/>
        </w:rPr>
        <w:t>神经网络（</w:t>
      </w:r>
      <w:r>
        <w:rPr>
          <w:snapToGrid w:val="0"/>
          <w:color w:val="000000"/>
          <w:spacing w:val="-2"/>
          <w:kern w:val="0"/>
          <w:sz w:val="21"/>
          <w:szCs w:val="21"/>
        </w:rPr>
        <w:t>DNN</w:t>
      </w:r>
      <w:r>
        <w:rPr>
          <w:snapToGrid w:val="0"/>
          <w:color w:val="000000"/>
          <w:spacing w:val="-2"/>
          <w:kern w:val="0"/>
          <w:sz w:val="21"/>
          <w:szCs w:val="21"/>
        </w:rPr>
        <w:t>）等算法构建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感染的预测模型。测试集的比例为</w:t>
      </w:r>
      <w:r>
        <w:rPr>
          <w:snapToGrid w:val="0"/>
          <w:color w:val="000000"/>
          <w:spacing w:val="-2"/>
          <w:kern w:val="0"/>
          <w:sz w:val="21"/>
          <w:szCs w:val="21"/>
        </w:rPr>
        <w:t>20%</w:t>
      </w:r>
      <w:r>
        <w:rPr>
          <w:snapToGrid w:val="0"/>
          <w:color w:val="000000"/>
          <w:spacing w:val="-2"/>
          <w:kern w:val="0"/>
          <w:sz w:val="21"/>
          <w:szCs w:val="21"/>
        </w:rPr>
        <w:t>，剩余</w:t>
      </w:r>
      <w:r>
        <w:rPr>
          <w:snapToGrid w:val="0"/>
          <w:color w:val="000000"/>
          <w:spacing w:val="-2"/>
          <w:kern w:val="0"/>
          <w:sz w:val="21"/>
          <w:szCs w:val="21"/>
        </w:rPr>
        <w:t>80%</w:t>
      </w:r>
      <w:r>
        <w:rPr>
          <w:snapToGrid w:val="0"/>
          <w:color w:val="000000"/>
          <w:spacing w:val="-2"/>
          <w:kern w:val="0"/>
          <w:sz w:val="21"/>
          <w:szCs w:val="21"/>
        </w:rPr>
        <w:t>样本用于构建预测模型，进行</w:t>
      </w:r>
      <w:r>
        <w:rPr>
          <w:snapToGrid w:val="0"/>
          <w:color w:val="000000"/>
          <w:spacing w:val="-2"/>
          <w:kern w:val="0"/>
          <w:sz w:val="21"/>
          <w:szCs w:val="21"/>
        </w:rPr>
        <w:t>10</w:t>
      </w:r>
      <w:r>
        <w:rPr>
          <w:snapToGrid w:val="0"/>
          <w:color w:val="000000"/>
          <w:spacing w:val="-2"/>
          <w:kern w:val="0"/>
          <w:sz w:val="21"/>
          <w:szCs w:val="21"/>
        </w:rPr>
        <w:t>折交叉验证。通过分析模型测试集的</w:t>
      </w:r>
      <w:r>
        <w:rPr>
          <w:snapToGrid w:val="0"/>
          <w:color w:val="000000"/>
          <w:spacing w:val="-2"/>
          <w:kern w:val="0"/>
          <w:sz w:val="21"/>
          <w:szCs w:val="21"/>
        </w:rPr>
        <w:t>AUC</w:t>
      </w:r>
      <w:r>
        <w:rPr>
          <w:snapToGrid w:val="0"/>
          <w:color w:val="000000"/>
          <w:spacing w:val="-2"/>
          <w:kern w:val="0"/>
          <w:sz w:val="21"/>
          <w:szCs w:val="21"/>
        </w:rPr>
        <w:t>值、准确度、灵敏度、特异度、阳性预测值、</w:t>
      </w:r>
      <w:r>
        <w:rPr>
          <w:snapToGrid w:val="0"/>
          <w:color w:val="000000"/>
          <w:spacing w:val="-2"/>
          <w:kern w:val="0"/>
          <w:sz w:val="21"/>
          <w:szCs w:val="21"/>
        </w:rPr>
        <w:t>F1</w:t>
      </w:r>
      <w:r>
        <w:rPr>
          <w:snapToGrid w:val="0"/>
          <w:color w:val="000000"/>
          <w:spacing w:val="-2"/>
          <w:kern w:val="0"/>
          <w:sz w:val="21"/>
          <w:szCs w:val="21"/>
        </w:rPr>
        <w:t>值、混淆矩阵等指标来综合评价各种预测模型的性能和效果。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  </w:t>
      </w:r>
      <w:r>
        <w:rPr>
          <w:snapToGrid w:val="0"/>
          <w:color w:val="000000"/>
          <w:spacing w:val="-2"/>
          <w:kern w:val="0"/>
          <w:sz w:val="21"/>
          <w:szCs w:val="21"/>
        </w:rPr>
        <w:t>结果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  </w:t>
      </w:r>
      <w:r>
        <w:rPr>
          <w:snapToGrid w:val="0"/>
          <w:color w:val="000000"/>
          <w:spacing w:val="-2"/>
          <w:kern w:val="0"/>
          <w:sz w:val="21"/>
          <w:szCs w:val="21"/>
        </w:rPr>
        <w:t>共</w:t>
      </w:r>
      <w:r>
        <w:rPr>
          <w:rFonts w:hint="eastAsia"/>
          <w:snapToGrid w:val="0"/>
          <w:color w:val="000000"/>
          <w:spacing w:val="-2"/>
          <w:kern w:val="0"/>
          <w:sz w:val="21"/>
          <w:szCs w:val="21"/>
        </w:rPr>
        <w:t>纳入</w:t>
      </w:r>
      <w:r>
        <w:rPr>
          <w:snapToGrid w:val="0"/>
          <w:color w:val="000000"/>
          <w:spacing w:val="-2"/>
          <w:kern w:val="0"/>
          <w:sz w:val="21"/>
          <w:szCs w:val="21"/>
        </w:rPr>
        <w:t>1526</w:t>
      </w:r>
      <w:r>
        <w:rPr>
          <w:snapToGrid w:val="0"/>
          <w:color w:val="000000"/>
          <w:spacing w:val="-2"/>
          <w:kern w:val="0"/>
          <w:sz w:val="21"/>
          <w:szCs w:val="21"/>
        </w:rPr>
        <w:t>个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菌株数据，注释得到</w:t>
      </w:r>
      <w:r>
        <w:rPr>
          <w:snapToGrid w:val="0"/>
          <w:color w:val="000000"/>
          <w:spacing w:val="-2"/>
          <w:kern w:val="0"/>
          <w:sz w:val="21"/>
          <w:szCs w:val="21"/>
        </w:rPr>
        <w:t>50913</w:t>
      </w:r>
      <w:r>
        <w:rPr>
          <w:snapToGrid w:val="0"/>
          <w:color w:val="000000"/>
          <w:spacing w:val="-2"/>
          <w:kern w:val="0"/>
          <w:sz w:val="21"/>
          <w:szCs w:val="21"/>
        </w:rPr>
        <w:t>个基因特征。不同感染样本类型的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菌株中，</w:t>
      </w:r>
      <w:r>
        <w:rPr>
          <w:snapToGrid w:val="0"/>
          <w:color w:val="000000"/>
          <w:spacing w:val="-2"/>
          <w:kern w:val="0"/>
          <w:sz w:val="21"/>
          <w:szCs w:val="21"/>
        </w:rPr>
        <w:t>ST11</w:t>
      </w:r>
      <w:r>
        <w:rPr>
          <w:snapToGrid w:val="0"/>
          <w:color w:val="000000"/>
          <w:spacing w:val="-2"/>
          <w:kern w:val="0"/>
          <w:sz w:val="21"/>
          <w:szCs w:val="21"/>
        </w:rPr>
        <w:t>和</w:t>
      </w:r>
      <w:r>
        <w:rPr>
          <w:snapToGrid w:val="0"/>
          <w:color w:val="000000"/>
          <w:spacing w:val="-2"/>
          <w:kern w:val="0"/>
          <w:sz w:val="21"/>
          <w:szCs w:val="21"/>
        </w:rPr>
        <w:t>KL64</w:t>
      </w:r>
      <w:r>
        <w:rPr>
          <w:snapToGrid w:val="0"/>
          <w:color w:val="000000"/>
          <w:spacing w:val="-2"/>
          <w:kern w:val="0"/>
          <w:sz w:val="21"/>
          <w:szCs w:val="21"/>
        </w:rPr>
        <w:t>分别是检出率最高的</w:t>
      </w:r>
      <w:r>
        <w:rPr>
          <w:snapToGrid w:val="0"/>
          <w:color w:val="000000"/>
          <w:spacing w:val="-2"/>
          <w:kern w:val="0"/>
          <w:sz w:val="21"/>
          <w:szCs w:val="21"/>
        </w:rPr>
        <w:t>ST</w:t>
      </w:r>
      <w:r>
        <w:rPr>
          <w:rFonts w:hint="eastAsia"/>
          <w:snapToGrid w:val="0"/>
          <w:color w:val="000000"/>
          <w:spacing w:val="-2"/>
          <w:kern w:val="0"/>
          <w:sz w:val="21"/>
          <w:szCs w:val="21"/>
        </w:rPr>
        <w:t>型</w:t>
      </w:r>
      <w:r>
        <w:rPr>
          <w:snapToGrid w:val="0"/>
          <w:color w:val="000000"/>
          <w:spacing w:val="-2"/>
          <w:kern w:val="0"/>
          <w:sz w:val="21"/>
          <w:szCs w:val="21"/>
        </w:rPr>
        <w:t>和</w:t>
      </w:r>
      <w:r>
        <w:rPr>
          <w:snapToGrid w:val="0"/>
          <w:color w:val="000000"/>
          <w:spacing w:val="-2"/>
          <w:kern w:val="0"/>
          <w:sz w:val="21"/>
          <w:szCs w:val="21"/>
        </w:rPr>
        <w:t>KL</w:t>
      </w:r>
      <w:r>
        <w:rPr>
          <w:snapToGrid w:val="0"/>
          <w:color w:val="000000"/>
          <w:spacing w:val="-2"/>
          <w:kern w:val="0"/>
          <w:sz w:val="21"/>
          <w:szCs w:val="21"/>
        </w:rPr>
        <w:t>血清型（</w:t>
      </w:r>
      <w:r>
        <w:rPr>
          <w:snapToGrid w:val="0"/>
          <w:color w:val="000000"/>
          <w:spacing w:val="-2"/>
          <w:kern w:val="0"/>
          <w:sz w:val="21"/>
          <w:szCs w:val="21"/>
        </w:rPr>
        <w:t>44.36%</w:t>
      </w:r>
      <w:r>
        <w:rPr>
          <w:snapToGrid w:val="0"/>
          <w:color w:val="000000"/>
          <w:spacing w:val="-2"/>
          <w:kern w:val="0"/>
          <w:sz w:val="21"/>
          <w:szCs w:val="21"/>
        </w:rPr>
        <w:t>，</w:t>
      </w:r>
      <w:r>
        <w:rPr>
          <w:snapToGrid w:val="0"/>
          <w:color w:val="000000"/>
          <w:spacing w:val="-2"/>
          <w:kern w:val="0"/>
          <w:sz w:val="21"/>
          <w:szCs w:val="21"/>
        </w:rPr>
        <w:t>25.36%</w:t>
      </w:r>
      <w:r>
        <w:rPr>
          <w:snapToGrid w:val="0"/>
          <w:color w:val="000000"/>
          <w:spacing w:val="-2"/>
          <w:kern w:val="0"/>
          <w:sz w:val="21"/>
          <w:szCs w:val="21"/>
        </w:rPr>
        <w:t>）；不同感染类型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菌株携带耐药基因数量存在显著差异，尿液样本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含有耐</w:t>
      </w:r>
      <w:r>
        <w:rPr>
          <w:snapToGrid w:val="0"/>
          <w:color w:val="000000"/>
          <w:spacing w:val="-2"/>
          <w:kern w:val="0"/>
          <w:sz w:val="21"/>
          <w:szCs w:val="21"/>
        </w:rPr>
        <w:t>药基因数量最多，平均每株含有</w:t>
      </w:r>
      <w:r>
        <w:rPr>
          <w:snapToGrid w:val="0"/>
          <w:color w:val="000000"/>
          <w:spacing w:val="-2"/>
          <w:kern w:val="0"/>
          <w:sz w:val="21"/>
          <w:szCs w:val="21"/>
        </w:rPr>
        <w:t>11</w:t>
      </w:r>
      <w:r>
        <w:rPr>
          <w:snapToGrid w:val="0"/>
          <w:color w:val="000000"/>
          <w:spacing w:val="-2"/>
          <w:kern w:val="0"/>
          <w:sz w:val="21"/>
          <w:szCs w:val="21"/>
        </w:rPr>
        <w:t>个耐药基因；耐药基因类型分布均以</w:t>
      </w:r>
      <w:r>
        <w:rPr>
          <w:snapToGrid w:val="0"/>
          <w:color w:val="000000"/>
          <w:spacing w:val="-2"/>
          <w:kern w:val="0"/>
          <w:sz w:val="21"/>
          <w:szCs w:val="21"/>
          <w:lang w:eastAsia="en-US"/>
        </w:rPr>
        <w:t>β</w:t>
      </w:r>
      <w:r>
        <w:rPr>
          <w:snapToGrid w:val="0"/>
          <w:color w:val="000000"/>
          <w:spacing w:val="-2"/>
          <w:kern w:val="0"/>
          <w:sz w:val="21"/>
          <w:szCs w:val="21"/>
        </w:rPr>
        <w:t>-</w:t>
      </w:r>
      <w:r>
        <w:rPr>
          <w:snapToGrid w:val="0"/>
          <w:color w:val="000000"/>
          <w:spacing w:val="-2"/>
          <w:kern w:val="0"/>
          <w:sz w:val="21"/>
          <w:szCs w:val="21"/>
        </w:rPr>
        <w:t>内酰胺类为主（肺泡灌洗液：</w:t>
      </w:r>
      <w:r>
        <w:rPr>
          <w:snapToGrid w:val="0"/>
          <w:color w:val="000000"/>
          <w:spacing w:val="-2"/>
          <w:kern w:val="0"/>
          <w:sz w:val="21"/>
          <w:szCs w:val="21"/>
        </w:rPr>
        <w:t>50.45%</w:t>
      </w:r>
      <w:r>
        <w:rPr>
          <w:snapToGrid w:val="0"/>
          <w:color w:val="000000"/>
          <w:spacing w:val="-2"/>
          <w:kern w:val="0"/>
          <w:sz w:val="21"/>
          <w:szCs w:val="21"/>
        </w:rPr>
        <w:t>；血液：</w:t>
      </w:r>
      <w:r>
        <w:rPr>
          <w:snapToGrid w:val="0"/>
          <w:color w:val="000000"/>
          <w:spacing w:val="-2"/>
          <w:kern w:val="0"/>
          <w:sz w:val="21"/>
          <w:szCs w:val="21"/>
        </w:rPr>
        <w:t>56.28%</w:t>
      </w:r>
      <w:r>
        <w:rPr>
          <w:snapToGrid w:val="0"/>
          <w:color w:val="000000"/>
          <w:spacing w:val="-2"/>
          <w:kern w:val="0"/>
          <w:sz w:val="21"/>
          <w:szCs w:val="21"/>
        </w:rPr>
        <w:t>；导管样本：</w:t>
      </w:r>
      <w:r>
        <w:rPr>
          <w:snapToGrid w:val="0"/>
          <w:color w:val="000000"/>
          <w:spacing w:val="-2"/>
          <w:kern w:val="0"/>
          <w:sz w:val="21"/>
          <w:szCs w:val="21"/>
        </w:rPr>
        <w:t>66.07%</w:t>
      </w:r>
      <w:r>
        <w:rPr>
          <w:snapToGrid w:val="0"/>
          <w:color w:val="000000"/>
          <w:spacing w:val="-2"/>
          <w:kern w:val="0"/>
          <w:sz w:val="21"/>
          <w:szCs w:val="21"/>
        </w:rPr>
        <w:t>；粪便：</w:t>
      </w:r>
      <w:r>
        <w:rPr>
          <w:snapToGrid w:val="0"/>
          <w:color w:val="000000"/>
          <w:spacing w:val="-2"/>
          <w:kern w:val="0"/>
          <w:sz w:val="21"/>
          <w:szCs w:val="21"/>
        </w:rPr>
        <w:t>55.07%</w:t>
      </w:r>
      <w:r>
        <w:rPr>
          <w:snapToGrid w:val="0"/>
          <w:color w:val="000000"/>
          <w:spacing w:val="-2"/>
          <w:kern w:val="0"/>
          <w:sz w:val="21"/>
          <w:szCs w:val="21"/>
        </w:rPr>
        <w:t>；呼吸道样本：</w:t>
      </w:r>
      <w:r>
        <w:rPr>
          <w:snapToGrid w:val="0"/>
          <w:color w:val="000000"/>
          <w:spacing w:val="-2"/>
          <w:kern w:val="0"/>
          <w:sz w:val="21"/>
          <w:szCs w:val="21"/>
        </w:rPr>
        <w:t>56.09%</w:t>
      </w:r>
      <w:r>
        <w:rPr>
          <w:snapToGrid w:val="0"/>
          <w:color w:val="000000"/>
          <w:spacing w:val="-2"/>
          <w:kern w:val="0"/>
          <w:sz w:val="21"/>
          <w:szCs w:val="21"/>
        </w:rPr>
        <w:t>；无菌体液：</w:t>
      </w:r>
      <w:r>
        <w:rPr>
          <w:snapToGrid w:val="0"/>
          <w:color w:val="000000"/>
          <w:spacing w:val="-2"/>
          <w:kern w:val="0"/>
          <w:sz w:val="21"/>
          <w:szCs w:val="21"/>
        </w:rPr>
        <w:t>59.52%</w:t>
      </w:r>
      <w:r>
        <w:rPr>
          <w:snapToGrid w:val="0"/>
          <w:color w:val="000000"/>
          <w:spacing w:val="-2"/>
          <w:kern w:val="0"/>
          <w:sz w:val="21"/>
          <w:szCs w:val="21"/>
        </w:rPr>
        <w:t>；尿液：</w:t>
      </w:r>
      <w:r>
        <w:rPr>
          <w:snapToGrid w:val="0"/>
          <w:color w:val="000000"/>
          <w:spacing w:val="-2"/>
          <w:kern w:val="0"/>
          <w:sz w:val="21"/>
          <w:szCs w:val="21"/>
        </w:rPr>
        <w:t>51.62%</w:t>
      </w:r>
      <w:r>
        <w:rPr>
          <w:snapToGrid w:val="0"/>
          <w:color w:val="000000"/>
          <w:spacing w:val="-2"/>
          <w:kern w:val="0"/>
          <w:sz w:val="21"/>
          <w:szCs w:val="21"/>
        </w:rPr>
        <w:t>；伤口脓液：</w:t>
      </w:r>
      <w:r>
        <w:rPr>
          <w:snapToGrid w:val="0"/>
          <w:color w:val="000000"/>
          <w:spacing w:val="-2"/>
          <w:kern w:val="0"/>
          <w:sz w:val="21"/>
          <w:szCs w:val="21"/>
        </w:rPr>
        <w:t>58.97%</w:t>
      </w:r>
      <w:r>
        <w:rPr>
          <w:snapToGrid w:val="0"/>
          <w:color w:val="000000"/>
          <w:spacing w:val="-2"/>
          <w:kern w:val="0"/>
          <w:sz w:val="21"/>
          <w:szCs w:val="21"/>
        </w:rPr>
        <w:t>）；在质粒分布上</w:t>
      </w:r>
      <w:r>
        <w:rPr>
          <w:snapToGrid w:val="0"/>
          <w:color w:val="000000"/>
          <w:spacing w:val="-2"/>
          <w:kern w:val="0"/>
          <w:sz w:val="21"/>
          <w:szCs w:val="21"/>
        </w:rPr>
        <w:t>Inc</w:t>
      </w:r>
      <w:r>
        <w:rPr>
          <w:snapToGrid w:val="0"/>
          <w:color w:val="000000"/>
          <w:spacing w:val="-2"/>
          <w:kern w:val="0"/>
          <w:sz w:val="21"/>
          <w:szCs w:val="21"/>
        </w:rPr>
        <w:t>质粒类型上的</w:t>
      </w:r>
      <w:r>
        <w:rPr>
          <w:snapToGrid w:val="0"/>
          <w:color w:val="000000"/>
          <w:spacing w:val="-2"/>
          <w:kern w:val="0"/>
          <w:sz w:val="21"/>
          <w:szCs w:val="21"/>
        </w:rPr>
        <w:t>QnrS1(304/852)</w:t>
      </w:r>
      <w:r>
        <w:rPr>
          <w:snapToGrid w:val="0"/>
          <w:color w:val="000000"/>
          <w:spacing w:val="-2"/>
          <w:kern w:val="0"/>
          <w:sz w:val="21"/>
          <w:szCs w:val="21"/>
        </w:rPr>
        <w:t>耐药基因最常见；最高毒力得分</w:t>
      </w:r>
      <w:r>
        <w:rPr>
          <w:snapToGrid w:val="0"/>
          <w:color w:val="000000"/>
          <w:spacing w:val="-2"/>
          <w:kern w:val="0"/>
          <w:sz w:val="21"/>
          <w:szCs w:val="21"/>
        </w:rPr>
        <w:t>KPN</w:t>
      </w:r>
      <w:r>
        <w:rPr>
          <w:snapToGrid w:val="0"/>
          <w:color w:val="000000"/>
          <w:spacing w:val="-2"/>
          <w:kern w:val="0"/>
          <w:sz w:val="21"/>
          <w:szCs w:val="21"/>
        </w:rPr>
        <w:t>主要来自伤口脓液样本（</w:t>
      </w:r>
      <w:r>
        <w:rPr>
          <w:snapToGrid w:val="0"/>
          <w:color w:val="000000"/>
          <w:spacing w:val="-2"/>
          <w:kern w:val="0"/>
          <w:sz w:val="21"/>
          <w:szCs w:val="21"/>
        </w:rPr>
        <w:t>33.0</w:t>
      </w:r>
      <w:r>
        <w:rPr>
          <w:snapToGrid w:val="0"/>
          <w:color w:val="000000"/>
          <w:spacing w:val="-2"/>
          <w:kern w:val="0"/>
          <w:sz w:val="21"/>
          <w:szCs w:val="21"/>
        </w:rPr>
        <w:t>％）和血液样本（</w:t>
      </w:r>
      <w:r>
        <w:rPr>
          <w:snapToGrid w:val="0"/>
          <w:color w:val="000000"/>
          <w:spacing w:val="-2"/>
          <w:kern w:val="0"/>
          <w:sz w:val="21"/>
          <w:szCs w:val="21"/>
        </w:rPr>
        <w:t>27.8</w:t>
      </w:r>
      <w:r>
        <w:rPr>
          <w:snapToGrid w:val="0"/>
          <w:color w:val="000000"/>
          <w:spacing w:val="-2"/>
          <w:kern w:val="0"/>
          <w:sz w:val="21"/>
          <w:szCs w:val="21"/>
        </w:rPr>
        <w:t>％）。通过类别平衡和特征选择，保留了</w:t>
      </w:r>
      <w:r>
        <w:rPr>
          <w:snapToGrid w:val="0"/>
          <w:color w:val="000000"/>
          <w:spacing w:val="-2"/>
          <w:kern w:val="0"/>
          <w:sz w:val="21"/>
          <w:szCs w:val="21"/>
        </w:rPr>
        <w:t>1430</w:t>
      </w:r>
      <w:r>
        <w:rPr>
          <w:snapToGrid w:val="0"/>
          <w:color w:val="000000"/>
          <w:spacing w:val="-2"/>
          <w:kern w:val="0"/>
          <w:sz w:val="21"/>
          <w:szCs w:val="21"/>
        </w:rPr>
        <w:t>个菌株和</w:t>
      </w:r>
      <w:r>
        <w:rPr>
          <w:snapToGrid w:val="0"/>
          <w:color w:val="000000"/>
          <w:spacing w:val="-2"/>
          <w:kern w:val="0"/>
          <w:sz w:val="21"/>
          <w:szCs w:val="21"/>
        </w:rPr>
        <w:t>1831</w:t>
      </w:r>
      <w:r>
        <w:rPr>
          <w:snapToGrid w:val="0"/>
          <w:color w:val="000000"/>
          <w:spacing w:val="-2"/>
          <w:kern w:val="0"/>
          <w:sz w:val="21"/>
          <w:szCs w:val="21"/>
        </w:rPr>
        <w:t>个基因特征用于构建预测模型。通过构建</w:t>
      </w:r>
      <w:bookmarkStart w:id="2" w:name="OLE_LINK35"/>
      <w:r>
        <w:rPr>
          <w:snapToGrid w:val="0"/>
          <w:color w:val="000000"/>
          <w:spacing w:val="-2"/>
          <w:kern w:val="0"/>
          <w:sz w:val="21"/>
          <w:szCs w:val="21"/>
        </w:rPr>
        <w:t>D</w:t>
      </w:r>
      <w:r>
        <w:rPr>
          <w:snapToGrid w:val="0"/>
          <w:color w:val="000000"/>
          <w:spacing w:val="-2"/>
          <w:kern w:val="0"/>
          <w:sz w:val="21"/>
          <w:szCs w:val="21"/>
        </w:rPr>
        <w:t>NN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LR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RF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GB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SVM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NB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模型和</w:t>
      </w:r>
      <w:r>
        <w:rPr>
          <w:snapToGrid w:val="0"/>
          <w:color w:val="000000"/>
          <w:spacing w:val="-2"/>
          <w:kern w:val="0"/>
          <w:sz w:val="21"/>
          <w:szCs w:val="21"/>
        </w:rPr>
        <w:t>DT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</w:t>
      </w:r>
      <w:bookmarkEnd w:id="2"/>
      <w:r>
        <w:rPr>
          <w:snapToGrid w:val="0"/>
          <w:color w:val="000000"/>
          <w:spacing w:val="-2"/>
          <w:kern w:val="0"/>
          <w:sz w:val="21"/>
          <w:szCs w:val="21"/>
        </w:rPr>
        <w:t>发现，</w:t>
      </w:r>
      <w:r>
        <w:rPr>
          <w:snapToGrid w:val="0"/>
          <w:color w:val="000000"/>
          <w:spacing w:val="-2"/>
          <w:kern w:val="0"/>
          <w:sz w:val="21"/>
          <w:szCs w:val="21"/>
        </w:rPr>
        <w:t>7</w:t>
      </w:r>
      <w:r>
        <w:rPr>
          <w:snapToGrid w:val="0"/>
          <w:color w:val="000000"/>
          <w:spacing w:val="-2"/>
          <w:kern w:val="0"/>
          <w:sz w:val="21"/>
          <w:szCs w:val="21"/>
        </w:rPr>
        <w:t>种模型测试集准确率分别为</w:t>
      </w:r>
      <w:r>
        <w:rPr>
          <w:snapToGrid w:val="0"/>
          <w:color w:val="000000"/>
          <w:spacing w:val="-2"/>
          <w:kern w:val="0"/>
          <w:sz w:val="21"/>
          <w:szCs w:val="21"/>
        </w:rPr>
        <w:t>87.56%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82.40%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77.30%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76.40%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76.40%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71.46%</w:t>
      </w:r>
      <w:r>
        <w:rPr>
          <w:snapToGrid w:val="0"/>
          <w:color w:val="000000"/>
          <w:spacing w:val="-2"/>
          <w:kern w:val="0"/>
          <w:sz w:val="21"/>
          <w:szCs w:val="21"/>
        </w:rPr>
        <w:t>和</w:t>
      </w:r>
      <w:r>
        <w:rPr>
          <w:snapToGrid w:val="0"/>
          <w:color w:val="000000"/>
          <w:spacing w:val="-2"/>
          <w:kern w:val="0"/>
          <w:sz w:val="21"/>
          <w:szCs w:val="21"/>
        </w:rPr>
        <w:t>68.46%</w:t>
      </w:r>
      <w:r>
        <w:rPr>
          <w:snapToGrid w:val="0"/>
          <w:color w:val="000000"/>
          <w:spacing w:val="-2"/>
          <w:kern w:val="0"/>
          <w:sz w:val="21"/>
          <w:szCs w:val="21"/>
        </w:rPr>
        <w:t>。</w:t>
      </w:r>
      <w:r>
        <w:rPr>
          <w:snapToGrid w:val="0"/>
          <w:color w:val="000000"/>
          <w:spacing w:val="-2"/>
          <w:kern w:val="0"/>
          <w:sz w:val="21"/>
          <w:szCs w:val="21"/>
        </w:rPr>
        <w:t>F1</w:t>
      </w:r>
      <w:r>
        <w:rPr>
          <w:snapToGrid w:val="0"/>
          <w:color w:val="000000"/>
          <w:spacing w:val="-2"/>
          <w:kern w:val="0"/>
          <w:sz w:val="21"/>
          <w:szCs w:val="21"/>
        </w:rPr>
        <w:t>值分别为</w:t>
      </w:r>
      <w:r>
        <w:rPr>
          <w:snapToGrid w:val="0"/>
          <w:color w:val="000000"/>
          <w:spacing w:val="-2"/>
          <w:kern w:val="0"/>
          <w:sz w:val="21"/>
          <w:szCs w:val="21"/>
        </w:rPr>
        <w:t>0.888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0.823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0.769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0.761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0.763</w:t>
      </w:r>
      <w:r>
        <w:rPr>
          <w:snapToGrid w:val="0"/>
          <w:color w:val="000000"/>
          <w:spacing w:val="-2"/>
          <w:kern w:val="0"/>
          <w:sz w:val="21"/>
          <w:szCs w:val="21"/>
        </w:rPr>
        <w:t>、</w:t>
      </w:r>
      <w:r>
        <w:rPr>
          <w:snapToGrid w:val="0"/>
          <w:color w:val="000000"/>
          <w:spacing w:val="-2"/>
          <w:kern w:val="0"/>
          <w:sz w:val="21"/>
          <w:szCs w:val="21"/>
        </w:rPr>
        <w:t>0.711</w:t>
      </w:r>
      <w:r>
        <w:rPr>
          <w:snapToGrid w:val="0"/>
          <w:color w:val="000000"/>
          <w:spacing w:val="-2"/>
          <w:kern w:val="0"/>
          <w:sz w:val="21"/>
          <w:szCs w:val="21"/>
        </w:rPr>
        <w:t>和</w:t>
      </w:r>
      <w:r>
        <w:rPr>
          <w:snapToGrid w:val="0"/>
          <w:color w:val="000000"/>
          <w:spacing w:val="-2"/>
          <w:kern w:val="0"/>
          <w:sz w:val="21"/>
          <w:szCs w:val="21"/>
        </w:rPr>
        <w:t>0.680</w:t>
      </w:r>
      <w:r>
        <w:rPr>
          <w:snapToGrid w:val="0"/>
          <w:color w:val="000000"/>
          <w:spacing w:val="-2"/>
          <w:kern w:val="0"/>
          <w:sz w:val="21"/>
          <w:szCs w:val="21"/>
        </w:rPr>
        <w:t>。</w:t>
      </w:r>
      <w:r>
        <w:rPr>
          <w:snapToGrid w:val="0"/>
          <w:color w:val="000000"/>
          <w:spacing w:val="-2"/>
          <w:kern w:val="0"/>
          <w:sz w:val="21"/>
          <w:szCs w:val="21"/>
        </w:rPr>
        <w:t>DNN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模型预测菌株感染类型效果最优，其中粪便样本</w:t>
      </w:r>
      <w:r>
        <w:rPr>
          <w:snapToGrid w:val="0"/>
          <w:color w:val="000000"/>
          <w:spacing w:val="-2"/>
          <w:kern w:val="0"/>
          <w:sz w:val="21"/>
          <w:szCs w:val="21"/>
        </w:rPr>
        <w:t>ROC</w:t>
      </w:r>
      <w:r>
        <w:rPr>
          <w:snapToGrid w:val="0"/>
          <w:color w:val="000000"/>
          <w:spacing w:val="-2"/>
          <w:kern w:val="0"/>
          <w:sz w:val="21"/>
          <w:szCs w:val="21"/>
        </w:rPr>
        <w:t>曲线面积</w:t>
      </w:r>
      <w:r>
        <w:rPr>
          <w:snapToGrid w:val="0"/>
          <w:color w:val="000000"/>
          <w:spacing w:val="-2"/>
          <w:kern w:val="0"/>
          <w:sz w:val="21"/>
          <w:szCs w:val="21"/>
        </w:rPr>
        <w:t>=0.98</w:t>
      </w:r>
      <w:r>
        <w:rPr>
          <w:snapToGrid w:val="0"/>
          <w:color w:val="000000"/>
          <w:spacing w:val="-2"/>
          <w:kern w:val="0"/>
          <w:sz w:val="21"/>
          <w:szCs w:val="21"/>
        </w:rPr>
        <w:t>、呼吸道样本</w:t>
      </w:r>
      <w:r>
        <w:rPr>
          <w:snapToGrid w:val="0"/>
          <w:color w:val="000000"/>
          <w:spacing w:val="-2"/>
          <w:kern w:val="0"/>
          <w:sz w:val="21"/>
          <w:szCs w:val="21"/>
        </w:rPr>
        <w:t>ROC</w:t>
      </w:r>
      <w:r>
        <w:rPr>
          <w:snapToGrid w:val="0"/>
          <w:color w:val="000000"/>
          <w:spacing w:val="-2"/>
          <w:kern w:val="0"/>
          <w:sz w:val="21"/>
          <w:szCs w:val="21"/>
        </w:rPr>
        <w:t>曲线面积</w:t>
      </w:r>
      <w:r>
        <w:rPr>
          <w:snapToGrid w:val="0"/>
          <w:color w:val="000000"/>
          <w:spacing w:val="-2"/>
          <w:kern w:val="0"/>
          <w:sz w:val="21"/>
          <w:szCs w:val="21"/>
        </w:rPr>
        <w:t>=0.95</w:t>
      </w:r>
      <w:r>
        <w:rPr>
          <w:snapToGrid w:val="0"/>
          <w:color w:val="000000"/>
          <w:spacing w:val="-2"/>
          <w:kern w:val="0"/>
          <w:sz w:val="21"/>
          <w:szCs w:val="21"/>
        </w:rPr>
        <w:t>、尿液样本</w:t>
      </w:r>
      <w:r>
        <w:rPr>
          <w:snapToGrid w:val="0"/>
          <w:color w:val="000000"/>
          <w:spacing w:val="-2"/>
          <w:kern w:val="0"/>
          <w:sz w:val="21"/>
          <w:szCs w:val="21"/>
        </w:rPr>
        <w:t>ROC</w:t>
      </w:r>
      <w:r>
        <w:rPr>
          <w:snapToGrid w:val="0"/>
          <w:color w:val="000000"/>
          <w:spacing w:val="-2"/>
          <w:kern w:val="0"/>
          <w:sz w:val="21"/>
          <w:szCs w:val="21"/>
        </w:rPr>
        <w:t>曲线面积</w:t>
      </w:r>
      <w:r>
        <w:rPr>
          <w:snapToGrid w:val="0"/>
          <w:color w:val="000000"/>
          <w:spacing w:val="-2"/>
          <w:kern w:val="0"/>
          <w:sz w:val="21"/>
          <w:szCs w:val="21"/>
        </w:rPr>
        <w:t>=0.99</w:t>
      </w:r>
      <w:r>
        <w:rPr>
          <w:snapToGrid w:val="0"/>
          <w:color w:val="000000"/>
          <w:spacing w:val="-2"/>
          <w:kern w:val="0"/>
          <w:sz w:val="21"/>
          <w:szCs w:val="21"/>
        </w:rPr>
        <w:t>、伤口脓液样本</w:t>
      </w:r>
      <w:r>
        <w:rPr>
          <w:snapToGrid w:val="0"/>
          <w:color w:val="000000"/>
          <w:spacing w:val="-2"/>
          <w:kern w:val="0"/>
          <w:sz w:val="21"/>
          <w:szCs w:val="21"/>
        </w:rPr>
        <w:t>ROC</w:t>
      </w:r>
      <w:r>
        <w:rPr>
          <w:snapToGrid w:val="0"/>
          <w:color w:val="000000"/>
          <w:spacing w:val="-2"/>
          <w:kern w:val="0"/>
          <w:sz w:val="21"/>
          <w:szCs w:val="21"/>
        </w:rPr>
        <w:t>曲线面</w:t>
      </w:r>
      <w:r>
        <w:rPr>
          <w:snapToGrid w:val="0"/>
          <w:color w:val="000000"/>
          <w:spacing w:val="-2"/>
          <w:kern w:val="0"/>
          <w:sz w:val="21"/>
          <w:szCs w:val="21"/>
        </w:rPr>
        <w:lastRenderedPageBreak/>
        <w:t>积</w:t>
      </w:r>
      <w:r>
        <w:rPr>
          <w:snapToGrid w:val="0"/>
          <w:color w:val="000000"/>
          <w:spacing w:val="-2"/>
          <w:kern w:val="0"/>
          <w:sz w:val="21"/>
          <w:szCs w:val="21"/>
        </w:rPr>
        <w:t>=0.99</w:t>
      </w:r>
      <w:r>
        <w:rPr>
          <w:snapToGrid w:val="0"/>
          <w:color w:val="000000"/>
          <w:spacing w:val="-2"/>
          <w:kern w:val="0"/>
          <w:sz w:val="21"/>
          <w:szCs w:val="21"/>
        </w:rPr>
        <w:t>、血液样本</w:t>
      </w:r>
      <w:r>
        <w:rPr>
          <w:snapToGrid w:val="0"/>
          <w:color w:val="000000"/>
          <w:spacing w:val="-2"/>
          <w:kern w:val="0"/>
          <w:sz w:val="21"/>
          <w:szCs w:val="21"/>
        </w:rPr>
        <w:t>ROC</w:t>
      </w:r>
      <w:r>
        <w:rPr>
          <w:snapToGrid w:val="0"/>
          <w:color w:val="000000"/>
          <w:spacing w:val="-2"/>
          <w:kern w:val="0"/>
          <w:sz w:val="21"/>
          <w:szCs w:val="21"/>
        </w:rPr>
        <w:t>曲线面积</w:t>
      </w:r>
      <w:r>
        <w:rPr>
          <w:snapToGrid w:val="0"/>
          <w:color w:val="000000"/>
          <w:spacing w:val="-2"/>
          <w:kern w:val="0"/>
          <w:sz w:val="21"/>
          <w:szCs w:val="21"/>
        </w:rPr>
        <w:t>=0.93</w:t>
      </w:r>
      <w:r>
        <w:rPr>
          <w:snapToGrid w:val="0"/>
          <w:color w:val="000000"/>
          <w:spacing w:val="-2"/>
          <w:kern w:val="0"/>
          <w:sz w:val="21"/>
          <w:szCs w:val="21"/>
        </w:rPr>
        <w:t>。</w:t>
      </w:r>
      <w:r>
        <w:rPr>
          <w:snapToGrid w:val="0"/>
          <w:color w:val="000000"/>
          <w:spacing w:val="-2"/>
          <w:kern w:val="0"/>
          <w:sz w:val="21"/>
          <w:szCs w:val="21"/>
        </w:rPr>
        <w:t>tuf1_1</w:t>
      </w:r>
      <w:r>
        <w:rPr>
          <w:snapToGrid w:val="0"/>
          <w:color w:val="000000"/>
          <w:spacing w:val="-2"/>
          <w:kern w:val="0"/>
          <w:sz w:val="21"/>
          <w:szCs w:val="21"/>
        </w:rPr>
        <w:t>基因在随机森林、决策树、梯度提升和深度神经网络的重要性排名中均位列前十。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 </w:t>
      </w:r>
      <w:r>
        <w:rPr>
          <w:snapToGrid w:val="0"/>
          <w:color w:val="000000"/>
          <w:spacing w:val="-2"/>
          <w:kern w:val="0"/>
          <w:sz w:val="21"/>
          <w:szCs w:val="21"/>
        </w:rPr>
        <w:t>结论</w:t>
      </w:r>
      <w:r>
        <w:rPr>
          <w:snapToGrid w:val="0"/>
          <w:color w:val="000000"/>
          <w:spacing w:val="-2"/>
          <w:kern w:val="0"/>
          <w:sz w:val="21"/>
          <w:szCs w:val="21"/>
        </w:rPr>
        <w:t xml:space="preserve">  LR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RF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SVM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模型、</w:t>
      </w:r>
      <w:r>
        <w:rPr>
          <w:snapToGrid w:val="0"/>
          <w:color w:val="000000"/>
          <w:spacing w:val="-2"/>
          <w:kern w:val="0"/>
          <w:sz w:val="21"/>
          <w:szCs w:val="21"/>
        </w:rPr>
        <w:t>DNN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模型在预测</w:t>
      </w:r>
      <w:r>
        <w:rPr>
          <w:snapToGrid w:val="0"/>
          <w:color w:val="000000"/>
          <w:spacing w:val="-2"/>
          <w:kern w:val="0"/>
          <w:sz w:val="21"/>
          <w:szCs w:val="21"/>
        </w:rPr>
        <w:t>5</w:t>
      </w:r>
      <w:r>
        <w:rPr>
          <w:snapToGrid w:val="0"/>
          <w:color w:val="000000"/>
          <w:spacing w:val="-2"/>
          <w:kern w:val="0"/>
          <w:sz w:val="21"/>
          <w:szCs w:val="21"/>
        </w:rPr>
        <w:t>类感染类型上具有良好的分类性能，其中</w:t>
      </w:r>
      <w:r>
        <w:rPr>
          <w:snapToGrid w:val="0"/>
          <w:color w:val="000000"/>
          <w:spacing w:val="-2"/>
          <w:kern w:val="0"/>
          <w:sz w:val="21"/>
          <w:szCs w:val="21"/>
        </w:rPr>
        <w:t>DNN</w:t>
      </w:r>
      <w:r>
        <w:rPr>
          <w:snapToGrid w:val="0"/>
          <w:color w:val="000000"/>
          <w:spacing w:val="-2"/>
          <w:kern w:val="0"/>
          <w:sz w:val="21"/>
          <w:szCs w:val="21"/>
        </w:rPr>
        <w:t>模型具有最佳分类性能。通过分析肺炎克雷伯杆菌的基因组特征，我们能有效预测患者的感染类型，为临床感染病例诊断</w:t>
      </w:r>
      <w:r>
        <w:rPr>
          <w:rFonts w:hint="eastAsia"/>
          <w:snapToGrid w:val="0"/>
          <w:color w:val="000000"/>
          <w:spacing w:val="-2"/>
          <w:kern w:val="0"/>
          <w:sz w:val="21"/>
          <w:szCs w:val="21"/>
        </w:rPr>
        <w:t>和</w:t>
      </w:r>
      <w:r>
        <w:rPr>
          <w:snapToGrid w:val="0"/>
          <w:color w:val="000000"/>
          <w:spacing w:val="-2"/>
          <w:kern w:val="0"/>
          <w:sz w:val="21"/>
          <w:szCs w:val="21"/>
        </w:rPr>
        <w:t>治疗提供了</w:t>
      </w:r>
      <w:r>
        <w:rPr>
          <w:rFonts w:hint="eastAsia"/>
          <w:snapToGrid w:val="0"/>
          <w:color w:val="000000"/>
          <w:spacing w:val="-2"/>
          <w:kern w:val="0"/>
          <w:sz w:val="21"/>
          <w:szCs w:val="21"/>
        </w:rPr>
        <w:t>参考</w:t>
      </w:r>
      <w:r>
        <w:rPr>
          <w:snapToGrid w:val="0"/>
          <w:color w:val="000000"/>
          <w:spacing w:val="-2"/>
          <w:kern w:val="0"/>
          <w:sz w:val="21"/>
          <w:szCs w:val="21"/>
        </w:rPr>
        <w:t>。</w:t>
      </w:r>
    </w:p>
    <w:p w14:paraId="164071F6" w14:textId="77777777" w:rsidR="005F0E9A" w:rsidRDefault="005B1EDA">
      <w:r>
        <w:rPr>
          <w:rFonts w:ascii="宋体" w:eastAsia="宋体" w:hAnsi="宋体" w:cs="宋体" w:hint="eastAsia"/>
          <w:b/>
          <w:bCs/>
          <w:snapToGrid w:val="0"/>
          <w:color w:val="000000"/>
          <w:spacing w:val="-1"/>
          <w:kern w:val="0"/>
          <w:sz w:val="21"/>
          <w:szCs w:val="21"/>
        </w:rPr>
        <w:t>关键词：</w:t>
      </w:r>
      <w:r>
        <w:rPr>
          <w:rFonts w:ascii="宋体" w:eastAsia="宋体" w:hAnsi="宋体" w:cs="宋体" w:hint="eastAsia"/>
          <w:snapToGrid w:val="0"/>
          <w:color w:val="000000"/>
          <w:spacing w:val="-1"/>
          <w:kern w:val="0"/>
          <w:sz w:val="21"/>
          <w:szCs w:val="21"/>
        </w:rPr>
        <w:t>肺炎克雷伯杆菌；基因组特征；感染类型；预测模型</w:t>
      </w:r>
      <w:bookmarkEnd w:id="0"/>
    </w:p>
    <w:sectPr w:rsidR="005F0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071F9" w14:textId="77777777" w:rsidR="005F0E9A" w:rsidRDefault="005B1EDA">
      <w:pPr>
        <w:spacing w:line="240" w:lineRule="auto"/>
      </w:pPr>
      <w:r>
        <w:separator/>
      </w:r>
    </w:p>
  </w:endnote>
  <w:endnote w:type="continuationSeparator" w:id="0">
    <w:p w14:paraId="164071FA" w14:textId="77777777" w:rsidR="005F0E9A" w:rsidRDefault="005B1E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16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71F7" w14:textId="77777777" w:rsidR="005F0E9A" w:rsidRDefault="005B1EDA">
      <w:r>
        <w:separator/>
      </w:r>
    </w:p>
  </w:footnote>
  <w:footnote w:type="continuationSeparator" w:id="0">
    <w:p w14:paraId="164071F8" w14:textId="77777777" w:rsidR="005F0E9A" w:rsidRDefault="005B1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a0NDIwsjA1MTY1MTNX0lEKTi0uzszPAykwrAUA3CR99iwAAAA="/>
    <w:docVar w:name="commondata" w:val="eyJoZGlkIjoiZjJhMGFmMjhjNjcyMDQ0MDk3YTdmOTc5MmQ5Nzg0NWYifQ=="/>
  </w:docVars>
  <w:rsids>
    <w:rsidRoot w:val="637E0047"/>
    <w:rsid w:val="004363E8"/>
    <w:rsid w:val="005B1EDA"/>
    <w:rsid w:val="005F0E9A"/>
    <w:rsid w:val="009C6EB8"/>
    <w:rsid w:val="009D5B23"/>
    <w:rsid w:val="00A02779"/>
    <w:rsid w:val="00C93386"/>
    <w:rsid w:val="00E06751"/>
    <w:rsid w:val="191C29F8"/>
    <w:rsid w:val="1C2E56FB"/>
    <w:rsid w:val="3A6B5EE3"/>
    <w:rsid w:val="3EE01BB7"/>
    <w:rsid w:val="54532EC8"/>
    <w:rsid w:val="637E0047"/>
    <w:rsid w:val="64EE5581"/>
    <w:rsid w:val="67B5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4071EF"/>
  <w15:docId w15:val="{3753AFFD-1B89-402B-A282-62DB8D71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line="360" w:lineRule="auto"/>
    </w:pPr>
    <w:rPr>
      <w:rFonts w:ascii="FangSong_GB2312" w:eastAsia="FangSong_GB2312" w:hAnsi="方正小标宋简体" w:cstheme="minorBidi"/>
      <w:color w:val="000000" w:themeColor="text1"/>
      <w:kern w:val="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BalloonText">
    <w:name w:val="Balloon Text"/>
    <w:basedOn w:val="Normal"/>
    <w:link w:val="BalloonTextChar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a">
    <w:name w:val="公式"/>
    <w:basedOn w:val="Normal"/>
    <w:pPr>
      <w:tabs>
        <w:tab w:val="center" w:pos="4410"/>
        <w:tab w:val="right" w:pos="8610"/>
      </w:tabs>
      <w:textAlignment w:val="center"/>
    </w:pPr>
    <w:rPr>
      <w:rFonts w:hAnsi="FangSong_GB2312" w:hint="eastAsia"/>
      <w:sz w:val="24"/>
      <w:szCs w:val="24"/>
    </w:rPr>
  </w:style>
  <w:style w:type="paragraph" w:customStyle="1" w:styleId="1">
    <w:name w:val="样式1"/>
    <w:basedOn w:val="Normal"/>
    <w:qFormat/>
    <w:pPr>
      <w:spacing w:line="480" w:lineRule="exact"/>
      <w:ind w:firstLineChars="200" w:firstLine="20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Pr>
      <w:rFonts w:ascii="FangSong_GB2312" w:eastAsia="FangSong_GB2312" w:hAnsi="方正小标宋简体" w:cstheme="minorBidi"/>
      <w:color w:val="000000" w:themeColor="text1"/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Pr>
      <w:rFonts w:ascii="FangSong_GB2312" w:eastAsia="FangSong_GB2312" w:hAnsi="方正小标宋简体" w:cstheme="minorBidi"/>
      <w:color w:val="000000" w:themeColor="text1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</dc:creator>
  <cp:lastModifiedBy>Yuting Han</cp:lastModifiedBy>
  <cp:revision>4</cp:revision>
  <dcterms:created xsi:type="dcterms:W3CDTF">2024-07-13T14:26:00Z</dcterms:created>
  <dcterms:modified xsi:type="dcterms:W3CDTF">2024-10-12T07:34:00Z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ZOTERO_PREF_1">
    <vt:lpwstr>1</vt:lpwstr>
  </property>
  <property fmtid="{D5CDD505-2E9C-101B-9397-08002B2CF9AE}" pid="4" name="ZOTERO_PREF_2">
    <vt:lpwstr>1</vt:lpwstr>
  </property>
  <property fmtid="{D5CDD505-2E9C-101B-9397-08002B2CF9AE}" pid="5" name="ICV">
    <vt:lpwstr>AEB5588635344D7380B87F995ABC7523_13</vt:lpwstr>
  </property>
</Properties>
</file>