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Style w:val="9"/>
          <w:rFonts w:hint="eastAsia" w:ascii="Times New Roman" w:hAnsi="Times New Roman"/>
          <w:sz w:val="32"/>
          <w:szCs w:val="32"/>
        </w:rPr>
      </w:pPr>
      <w:r>
        <w:rPr>
          <w:rStyle w:val="9"/>
          <w:rFonts w:hint="eastAsia" w:ascii="Times New Roman" w:hAnsi="Times New Roman"/>
          <w:sz w:val="32"/>
          <w:szCs w:val="32"/>
        </w:rPr>
        <w:t>1990年至2021年全球、区域和国家</w:t>
      </w:r>
      <w:r>
        <w:rPr>
          <w:rStyle w:val="9"/>
          <w:rFonts w:hint="eastAsia" w:ascii="Times New Roman" w:hAnsi="Times New Roman"/>
          <w:sz w:val="32"/>
          <w:szCs w:val="32"/>
          <w:lang w:val="en-US" w:eastAsia="zh-CN"/>
        </w:rPr>
        <w:t>育龄期</w:t>
      </w:r>
      <w:r>
        <w:rPr>
          <w:rStyle w:val="9"/>
          <w:rFonts w:hint="eastAsia" w:ascii="Times New Roman" w:hAnsi="Times New Roman"/>
          <w:sz w:val="32"/>
          <w:szCs w:val="32"/>
        </w:rPr>
        <w:t>妇女梅毒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Style w:val="9"/>
          <w:rFonts w:hint="eastAsia" w:ascii="Times New Roman" w:hAnsi="Times New Roman"/>
          <w:sz w:val="32"/>
          <w:szCs w:val="32"/>
          <w:lang w:val="en-US" w:eastAsia="zh-CN"/>
        </w:rPr>
      </w:pPr>
      <w:r>
        <w:rPr>
          <w:rStyle w:val="9"/>
          <w:rFonts w:hint="eastAsia" w:ascii="Times New Roman" w:hAnsi="Times New Roman"/>
          <w:sz w:val="32"/>
          <w:szCs w:val="32"/>
          <w:lang w:val="en-US" w:eastAsia="zh-CN"/>
        </w:rPr>
        <w:t>的疾病</w:t>
      </w:r>
      <w:r>
        <w:rPr>
          <w:rStyle w:val="9"/>
          <w:rFonts w:hint="eastAsia" w:ascii="Times New Roman" w:hAnsi="Times New Roman"/>
          <w:sz w:val="32"/>
          <w:szCs w:val="32"/>
        </w:rPr>
        <w:t>负担</w:t>
      </w:r>
      <w:r>
        <w:rPr>
          <w:rStyle w:val="9"/>
          <w:rFonts w:hint="eastAsia" w:ascii="Times New Roman" w:hAnsi="Times New Roman"/>
          <w:sz w:val="32"/>
          <w:szCs w:val="32"/>
          <w:lang w:val="en-US" w:eastAsia="zh-CN"/>
        </w:rPr>
        <w:t>和发病趋势研究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黄燕惠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lang w:val="en-US" w:eastAsia="zh-CN"/>
        </w:rPr>
        <w:t>晏瑞琳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lang w:val="en-US" w:eastAsia="zh-CN"/>
        </w:rPr>
        <w:t>叶云凤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lang w:val="en-US" w:eastAsia="zh-CN"/>
        </w:rPr>
        <w:t>李丽梅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lang w:val="en-US" w:eastAsia="zh-CN"/>
        </w:rPr>
        <w:t>周志衡</w:t>
      </w:r>
      <w:r>
        <w:rPr>
          <w:rFonts w:hint="eastAsia" w:ascii="Times New Roman" w:hAnsi="Times New Roman"/>
          <w:vertAlign w:val="superscript"/>
          <w:lang w:val="en-US" w:eastAsia="zh-CN"/>
        </w:rPr>
        <w:t>3</w:t>
      </w:r>
      <w:r>
        <w:rPr>
          <w:rFonts w:ascii="Times New Roman" w:hAnsi="Times New Roman"/>
        </w:rPr>
        <w:t xml:space="preserve">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ascii="Times New Roman" w:hAnsi="Times New Roman"/>
          <w:vertAlign w:val="superscript"/>
        </w:rPr>
        <w:t>1</w:t>
      </w:r>
      <w:r>
        <w:rPr>
          <w:rFonts w:hint="eastAsia" w:ascii="Times New Roman" w:hAnsi="Times New Roman"/>
          <w:lang w:val="en-US" w:eastAsia="zh-CN"/>
        </w:rPr>
        <w:t>广东省深圳市宝安区公共卫生服务中心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  <w:lang w:val="en-US" w:eastAsia="zh-CN"/>
        </w:rPr>
        <w:t>深圳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518101</w:t>
      </w:r>
      <w:r>
        <w:rPr>
          <w:rFonts w:ascii="Times New Roman" w:hAnsi="Times New Roman"/>
        </w:rPr>
        <w:t>；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/>
          <w:lang w:val="en-US" w:eastAsia="zh-CN"/>
        </w:rPr>
        <w:t>广东省深圳市宝安区慢性病防治院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  <w:lang w:val="en-US" w:eastAsia="zh-CN"/>
        </w:rPr>
        <w:t>深圳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lang w:val="en-US" w:eastAsia="zh-CN"/>
        </w:rPr>
        <w:t>518020</w:t>
      </w:r>
      <w:r>
        <w:rPr>
          <w:rFonts w:hint="eastAsia" w:ascii="Times New Roman" w:hAnsi="Times New Roman"/>
          <w:lang w:eastAsia="zh-CN"/>
        </w:rPr>
        <w:t>；</w:t>
      </w:r>
      <w:r>
        <w:rPr>
          <w:rFonts w:hint="eastAsia" w:ascii="Times New Roman" w:hAnsi="Times New Roman"/>
          <w:vertAlign w:val="superscript"/>
          <w:lang w:val="en-US" w:eastAsia="zh-CN"/>
        </w:rPr>
        <w:t>3</w:t>
      </w:r>
      <w:r>
        <w:rPr>
          <w:rFonts w:hint="eastAsia" w:ascii="Times New Roman" w:hAnsi="Times New Roman"/>
          <w:lang w:val="en-US" w:eastAsia="zh-CN"/>
        </w:rPr>
        <w:t>广东省深圳市南方医科大学深圳坪山总医院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  <w:lang w:val="en-US" w:eastAsia="zh-CN"/>
        </w:rPr>
        <w:t>深圳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lang w:val="en-US" w:eastAsia="zh-CN"/>
        </w:rPr>
        <w:t>518020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</w:pPr>
      <w:r>
        <w:rPr>
          <w:rFonts w:ascii="Times New Roman" w:hAnsi="Times New Roman"/>
        </w:rPr>
        <w:t>通信作者：</w:t>
      </w:r>
      <w:r>
        <w:rPr>
          <w:rFonts w:hint="eastAsia" w:ascii="Times New Roman" w:hAnsi="Times New Roman"/>
          <w:lang w:val="en-US" w:eastAsia="zh-CN"/>
        </w:rPr>
        <w:t>周志衡</w:t>
      </w:r>
      <w:r>
        <w:rPr>
          <w:rFonts w:ascii="Times New Roman" w:hAnsi="Times New Roman"/>
        </w:rPr>
        <w:t>，Email：</w:t>
      </w:r>
      <w:r>
        <w:rPr>
          <w:rFonts w:hint="eastAsia" w:ascii="Times New Roman" w:hAnsi="Times New Roman"/>
          <w:lang w:val="en-US" w:eastAsia="zh-CN"/>
        </w:rPr>
        <w:t>reahuang</w:t>
      </w:r>
      <w:r>
        <w:rPr>
          <w:rFonts w:ascii="Times New Roman" w:hAnsi="Times New Roman"/>
        </w:rPr>
        <w:t>@163.com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【摘要】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目的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分析全球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15-49岁育龄期妇女梅毒的疾病负担、</w:t>
      </w:r>
      <w:r>
        <w:rPr>
          <w:rFonts w:hint="default" w:ascii="Times New Roman" w:hAnsi="Times New Roman" w:eastAsia="宋体" w:cs="Times New Roman"/>
          <w:sz w:val="24"/>
          <w:szCs w:val="24"/>
        </w:rPr>
        <w:t>发病率和患病率的变化趋势，为卫生政策制定提供科学依据。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方法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于2024年6月</w:t>
      </w:r>
      <w:r>
        <w:rPr>
          <w:rFonts w:hint="default" w:ascii="Times New Roman" w:hAnsi="Times New Roman" w:eastAsia="宋体" w:cs="Times New Roman"/>
          <w:sz w:val="24"/>
          <w:szCs w:val="24"/>
        </w:rPr>
        <w:t>，通过全球健康数据交换（GHDx）查询工具（https://vizhub.healthdata.org/gbd-results-tool）下载并整理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全球204个国家、5个区域、21个GBD分区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15-49岁育龄期妇女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梅毒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数据，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提取患病率、发病率和残疾调整寿命年三个主要指标，应用年估计变化百分比（EAPC）和年龄标化率（ASR）估算 1990 至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2021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梅毒</w:t>
      </w:r>
      <w:r>
        <w:rPr>
          <w:rFonts w:hint="default" w:ascii="Times New Roman" w:hAnsi="Times New Roman" w:eastAsia="宋体" w:cs="Times New Roman"/>
          <w:sz w:val="24"/>
          <w:szCs w:val="24"/>
        </w:rPr>
        <w:t>的趋势变化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</w:rPr>
        <w:t>基于 ASR 应用线性回归模型估算 EAPC。</w:t>
      </w: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结果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2021年全球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育龄期妇女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梅毒的</w:t>
      </w:r>
      <w:r>
        <w:rPr>
          <w:rFonts w:hint="default" w:ascii="Times New Roman" w:hAnsi="Times New Roman" w:eastAsia="宋体" w:cs="Times New Roman"/>
          <w:sz w:val="24"/>
          <w:szCs w:val="24"/>
        </w:rPr>
        <w:t>患病、发病和DALYs病例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分别为2047.53</w:t>
      </w:r>
      <w:r>
        <w:rPr>
          <w:rFonts w:hint="default" w:ascii="Times New Roman" w:hAnsi="Times New Roman" w:eastAsia="宋体" w:cs="Times New Roman"/>
          <w:sz w:val="24"/>
          <w:szCs w:val="24"/>
        </w:rPr>
        <w:t>万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535.54</w:t>
      </w:r>
      <w:r>
        <w:rPr>
          <w:rFonts w:hint="default" w:ascii="Times New Roman" w:hAnsi="Times New Roman" w:eastAsia="宋体" w:cs="Times New Roman"/>
          <w:sz w:val="24"/>
          <w:szCs w:val="24"/>
        </w:rPr>
        <w:t>万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3.96</w:t>
      </w:r>
      <w:r>
        <w:rPr>
          <w:rFonts w:hint="default" w:ascii="Times New Roman" w:hAnsi="Times New Roman" w:eastAsia="宋体" w:cs="Times New Roman"/>
          <w:sz w:val="24"/>
          <w:szCs w:val="24"/>
        </w:rPr>
        <w:t>万，与1990年相比，百分比变化分别为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45.85</w:t>
      </w:r>
      <w:r>
        <w:rPr>
          <w:rFonts w:hint="default" w:ascii="Times New Roman" w:hAnsi="Times New Roman" w:eastAsia="宋体" w:cs="Times New Roman"/>
          <w:sz w:val="24"/>
          <w:szCs w:val="24"/>
        </w:rPr>
        <w:t>%、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46.96</w:t>
      </w:r>
      <w:r>
        <w:rPr>
          <w:rFonts w:hint="default" w:ascii="Times New Roman" w:hAnsi="Times New Roman" w:eastAsia="宋体" w:cs="Times New Roman"/>
          <w:sz w:val="24"/>
          <w:szCs w:val="24"/>
        </w:rPr>
        <w:t>%和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16.08</w:t>
      </w:r>
      <w:r>
        <w:rPr>
          <w:rFonts w:hint="default" w:ascii="Times New Roman" w:hAnsi="Times New Roman" w:eastAsia="宋体" w:cs="Times New Roman"/>
          <w:sz w:val="24"/>
          <w:szCs w:val="24"/>
        </w:rPr>
        <w:t>%。在过去32年中，全球患病率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</w:rPr>
        <w:t>发病率和残疾调整寿命年率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的ASR均</w:t>
      </w:r>
      <w:r>
        <w:rPr>
          <w:rFonts w:hint="default" w:ascii="Times New Roman" w:hAnsi="Times New Roman" w:eastAsia="宋体" w:cs="Times New Roman"/>
          <w:sz w:val="24"/>
          <w:szCs w:val="24"/>
        </w:rPr>
        <w:t>呈下降趋势，EAPC 分别为 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0.50</w:t>
      </w:r>
      <w:r>
        <w:rPr>
          <w:rFonts w:hint="default" w:ascii="Times New Roman" w:hAnsi="Times New Roman" w:eastAsia="宋体" w:cs="Times New Roman"/>
          <w:sz w:val="24"/>
          <w:szCs w:val="24"/>
        </w:rPr>
        <w:t>%（95%CI：-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0.69</w:t>
      </w:r>
      <w:r>
        <w:rPr>
          <w:rFonts w:hint="default" w:ascii="Times New Roman" w:hAnsi="Times New Roman" w:eastAsia="宋体" w:cs="Times New Roman"/>
          <w:sz w:val="24"/>
          <w:szCs w:val="24"/>
        </w:rPr>
        <w:t>%~-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0.31</w:t>
      </w:r>
      <w:r>
        <w:rPr>
          <w:rFonts w:hint="default" w:ascii="Times New Roman" w:hAnsi="Times New Roman" w:eastAsia="宋体" w:cs="Times New Roman"/>
          <w:sz w:val="24"/>
          <w:szCs w:val="24"/>
        </w:rPr>
        <w:t>%）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0.35</w:t>
      </w:r>
      <w:r>
        <w:rPr>
          <w:rFonts w:hint="default" w:ascii="Times New Roman" w:hAnsi="Times New Roman" w:eastAsia="宋体" w:cs="Times New Roman"/>
          <w:sz w:val="24"/>
          <w:szCs w:val="24"/>
        </w:rPr>
        <w:t>% （95%CI：-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0.56</w:t>
      </w:r>
      <w:r>
        <w:rPr>
          <w:rFonts w:hint="default" w:ascii="Times New Roman" w:hAnsi="Times New Roman" w:eastAsia="宋体" w:cs="Times New Roman"/>
          <w:sz w:val="24"/>
          <w:szCs w:val="24"/>
        </w:rPr>
        <w:t>%~-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0.15</w:t>
      </w:r>
      <w:r>
        <w:rPr>
          <w:rFonts w:hint="default" w:ascii="Times New Roman" w:hAnsi="Times New Roman" w:eastAsia="宋体" w:cs="Times New Roman"/>
          <w:sz w:val="24"/>
          <w:szCs w:val="24"/>
        </w:rPr>
        <w:t>%）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和</w:t>
      </w:r>
      <w:r>
        <w:rPr>
          <w:rFonts w:hint="default" w:ascii="Times New Roman" w:hAnsi="Times New Roman" w:eastAsia="宋体" w:cs="Times New Roman"/>
          <w:sz w:val="24"/>
          <w:szCs w:val="24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1.30</w:t>
      </w:r>
      <w:r>
        <w:rPr>
          <w:rFonts w:hint="default" w:ascii="Times New Roman" w:hAnsi="Times New Roman" w:eastAsia="宋体" w:cs="Times New Roman"/>
          <w:sz w:val="24"/>
          <w:szCs w:val="24"/>
        </w:rPr>
        <w:t>% （95%CI：-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1.53</w:t>
      </w:r>
      <w:r>
        <w:rPr>
          <w:rFonts w:hint="default" w:ascii="Times New Roman" w:hAnsi="Times New Roman" w:eastAsia="宋体" w:cs="Times New Roman"/>
          <w:sz w:val="24"/>
          <w:szCs w:val="24"/>
        </w:rPr>
        <w:t>%~-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1.06</w:t>
      </w:r>
      <w:r>
        <w:rPr>
          <w:rFonts w:hint="default" w:ascii="Times New Roman" w:hAnsi="Times New Roman" w:eastAsia="宋体" w:cs="Times New Roman"/>
          <w:sz w:val="24"/>
          <w:szCs w:val="24"/>
        </w:rPr>
        <w:t>%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>。在5个社会人口指数(SDI)地区中，2021年，SDI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低中部</w:t>
      </w:r>
      <w:r>
        <w:rPr>
          <w:rFonts w:hint="default" w:ascii="Times New Roman" w:hAnsi="Times New Roman" w:eastAsia="宋体" w:cs="Times New Roman"/>
          <w:sz w:val="24"/>
          <w:szCs w:val="24"/>
        </w:rPr>
        <w:t>地区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育龄期妇女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梅毒的</w:t>
      </w:r>
      <w:r>
        <w:rPr>
          <w:rFonts w:hint="default" w:ascii="Times New Roman" w:hAnsi="Times New Roman" w:eastAsia="宋体" w:cs="Times New Roman"/>
          <w:sz w:val="24"/>
          <w:szCs w:val="24"/>
        </w:rPr>
        <w:t>患病、发病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人数最多</w:t>
      </w:r>
      <w:r>
        <w:rPr>
          <w:rFonts w:hint="default"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分别为664.56万、174.94万</w:t>
      </w:r>
      <w:r>
        <w:rPr>
          <w:rFonts w:hint="default" w:ascii="Times New Roman" w:hAnsi="Times New Roman" w:eastAsia="宋体" w:cs="Times New Roman"/>
          <w:sz w:val="24"/>
          <w:szCs w:val="24"/>
        </w:rPr>
        <w:t>，约占全球总量的三分之一。从年龄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结构</w:t>
      </w:r>
      <w:r>
        <w:rPr>
          <w:rFonts w:hint="default" w:ascii="Times New Roman" w:hAnsi="Times New Roman" w:eastAsia="宋体" w:cs="Times New Roman"/>
          <w:sz w:val="24"/>
          <w:szCs w:val="24"/>
        </w:rPr>
        <w:t>来看，2021年全球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20-24</w:t>
      </w:r>
      <w:r>
        <w:rPr>
          <w:rFonts w:hint="default" w:ascii="Times New Roman" w:hAnsi="Times New Roman" w:eastAsia="宋体" w:cs="Times New Roman"/>
          <w:sz w:val="24"/>
          <w:szCs w:val="24"/>
        </w:rPr>
        <w:t>岁年龄组发病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人数</w:t>
      </w:r>
      <w:r>
        <w:rPr>
          <w:rFonts w:hint="default" w:ascii="Times New Roman" w:hAnsi="Times New Roman" w:eastAsia="宋体" w:cs="Times New Roman"/>
          <w:sz w:val="24"/>
          <w:szCs w:val="24"/>
        </w:rPr>
        <w:t>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137.29</w:t>
      </w:r>
      <w:r>
        <w:rPr>
          <w:rFonts w:hint="default" w:ascii="Times New Roman" w:hAnsi="Times New Roman" w:eastAsia="宋体" w:cs="Times New Roman"/>
          <w:sz w:val="24"/>
          <w:szCs w:val="24"/>
        </w:rPr>
        <w:t>万，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发病率为467.35</w:t>
      </w:r>
      <w:r>
        <w:rPr>
          <w:rFonts w:hint="default" w:ascii="Times New Roman" w:hAnsi="Times New Roman" w:eastAsia="宋体" w:cs="Times New Roman"/>
          <w:sz w:val="24"/>
          <w:szCs w:val="24"/>
        </w:rPr>
        <w:t>例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eastAsia="宋体" w:cs="Times New Roman"/>
          <w:sz w:val="24"/>
          <w:szCs w:val="24"/>
        </w:rPr>
        <w:t>10万人，为各年龄组中最高。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结论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1990 至 2019 年间，全球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育龄期妇女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梅毒的</w:t>
      </w:r>
      <w:r>
        <w:rPr>
          <w:rFonts w:hint="default" w:ascii="Times New Roman" w:hAnsi="Times New Roman" w:eastAsia="宋体" w:cs="Times New Roman"/>
          <w:sz w:val="24"/>
          <w:szCs w:val="24"/>
        </w:rPr>
        <w:t>发病趋势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呈</w:t>
      </w:r>
      <w:r>
        <w:rPr>
          <w:rFonts w:hint="default" w:ascii="Times New Roman" w:hAnsi="Times New Roman" w:eastAsia="宋体" w:cs="Times New Roman"/>
          <w:sz w:val="24"/>
          <w:szCs w:val="24"/>
        </w:rPr>
        <w:t>下降，但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在</w:t>
      </w:r>
      <w:r>
        <w:rPr>
          <w:rFonts w:hint="default" w:ascii="Times New Roman" w:hAnsi="Times New Roman" w:eastAsia="宋体" w:cs="Times New Roman"/>
          <w:sz w:val="24"/>
          <w:szCs w:val="24"/>
        </w:rPr>
        <w:t>SDI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低中部</w:t>
      </w:r>
      <w:r>
        <w:rPr>
          <w:rFonts w:hint="default" w:ascii="Times New Roman" w:hAnsi="Times New Roman" w:eastAsia="宋体" w:cs="Times New Roman"/>
          <w:sz w:val="24"/>
          <w:szCs w:val="24"/>
        </w:rPr>
        <w:t>地区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和一些</w:t>
      </w:r>
      <w:r>
        <w:rPr>
          <w:rFonts w:hint="default" w:ascii="Times New Roman" w:hAnsi="Times New Roman" w:eastAsia="宋体" w:cs="Times New Roman"/>
          <w:sz w:val="24"/>
          <w:szCs w:val="24"/>
        </w:rPr>
        <w:t>低收入国家地区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梅毒是育龄期妇女的主要危害疾病</w:t>
      </w:r>
      <w:r>
        <w:rPr>
          <w:rFonts w:hint="default" w:ascii="Times New Roman" w:hAnsi="Times New Roman" w:eastAsia="宋体" w:cs="Times New Roman"/>
          <w:sz w:val="24"/>
          <w:szCs w:val="24"/>
        </w:rPr>
        <w:t>，需要更有效的策略来预防和减轻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梅毒</w:t>
      </w:r>
      <w:r>
        <w:rPr>
          <w:rFonts w:hint="default" w:ascii="Times New Roman" w:hAnsi="Times New Roman" w:eastAsia="宋体" w:cs="Times New Roman"/>
          <w:sz w:val="24"/>
          <w:szCs w:val="24"/>
        </w:rPr>
        <w:t>所带来的负担。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【关键词】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梅毒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育龄期妇女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</w:rPr>
        <w:t>全球疾病负担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</w:rPr>
        <w:t>年估计变化百分比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年龄标化率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基金项目：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深圳市宝安区</w:t>
      </w:r>
      <w:r>
        <w:rPr>
          <w:rFonts w:hint="default" w:ascii="Times New Roman" w:hAnsi="Times New Roman" w:eastAsia="宋体" w:cs="Times New Roman"/>
          <w:sz w:val="24"/>
          <w:szCs w:val="24"/>
        </w:rPr>
        <w:t>医学重点学科建设项目 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2022-2025</w:t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-572135</wp:posOffset>
                </wp:positionH>
                <wp:positionV relativeFrom="paragraph">
                  <wp:posOffset>495935</wp:posOffset>
                </wp:positionV>
                <wp:extent cx="563880" cy="71818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8135" y="1579245"/>
                          <a:ext cx="5638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44"/>
                                <w:szCs w:val="44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05pt;margin-top:39.05pt;height:56.55pt;width:44.4pt;z-index:251659264;mso-width-relative:page;mso-height-relative:page;" filled="f" stroked="f" coordsize="21600,21600" o:gfxdata="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YQJd7ZAAAACQEAAA8AAAAAAAAAAQAg&#10;AAAAIgAAAGRycy9kb3ducmV2LnhtbFBLAQIUABQAAAAIAIdO4kCkKn3iRgIAAHA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44"/>
                          <w:szCs w:val="44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4831715" cy="3239770"/>
            <wp:effectExtent l="0" t="0" r="698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171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-654685</wp:posOffset>
                </wp:positionH>
                <wp:positionV relativeFrom="paragraph">
                  <wp:posOffset>436880</wp:posOffset>
                </wp:positionV>
                <wp:extent cx="563880" cy="71818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44"/>
                                <w:szCs w:val="44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55pt;margin-top:34.4pt;height:56.55pt;width:44.4pt;z-index:251660288;mso-width-relative:page;mso-height-relative:page;" filled="f" stroked="f" coordsize="21600,21600" o:gfxdata="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Hw4V0TbAAAACwEAAA8AAAAAAAAAAQAgAAAAIgAAAGRy&#10;cy9kb3ducmV2LnhtbFBLAQIUABQAAAAIAIdO4kAujWbbOwIAAGU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44"/>
                          <w:szCs w:val="44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140325" cy="3239770"/>
            <wp:effectExtent l="0" t="0" r="317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032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全球各国</w:t>
      </w:r>
      <w:r>
        <w:rPr>
          <w:rFonts w:hint="eastAsia"/>
          <w:lang w:val="en-US" w:eastAsia="zh-CN"/>
        </w:rPr>
        <w:t>15-49岁育龄期妇女梅毒分布情况：A图代表标化发病率在各国的分布情况；B图代表发病例数变化在各国的分布情况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85E17"/>
    <w:rsid w:val="0B725406"/>
    <w:rsid w:val="0D6A1456"/>
    <w:rsid w:val="1ADE7600"/>
    <w:rsid w:val="1B5C69BD"/>
    <w:rsid w:val="212F7F40"/>
    <w:rsid w:val="2C35207A"/>
    <w:rsid w:val="2FDC6090"/>
    <w:rsid w:val="37673F13"/>
    <w:rsid w:val="441E012A"/>
    <w:rsid w:val="4FAB25DD"/>
    <w:rsid w:val="5EE41954"/>
    <w:rsid w:val="627250A0"/>
    <w:rsid w:val="6E3C17DC"/>
    <w:rsid w:val="733C2933"/>
    <w:rsid w:val="7A3654BC"/>
    <w:rsid w:val="7D2B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Title"/>
    <w:basedOn w:val="1"/>
    <w:qFormat/>
    <w:uiPriority w:val="1"/>
    <w:pPr>
      <w:spacing w:before="3"/>
      <w:ind w:left="112"/>
    </w:pPr>
    <w:rPr>
      <w:rFonts w:ascii="Trebuchet MS" w:hAnsi="Trebuchet MS" w:eastAsia="Trebuchet MS" w:cs="Trebuchet MS"/>
      <w:sz w:val="48"/>
      <w:szCs w:val="48"/>
      <w:lang w:val="en-US" w:eastAsia="en-US" w:bidi="ar-SA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2024-06-11T04:13:00Z</dcterms:created>
  <dc:creator>admin</dc:creator>
  <cp:lastModifiedBy>公共卫生科</cp:lastModifiedBy>
  <dcterms:modified xsi:type="dcterms:W3CDTF">2024-08-15T15:54:02Z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70D76D32C11B413AAE3C7CEDA6E9E9BF</vt:lpwstr>
  </property>
</Properties>
</file>