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D18F14">
      <w:pPr>
        <w:spacing w:line="360" w:lineRule="auto"/>
        <w:rPr>
          <w:rFonts w:hint="default" w:ascii="Times New Roman" w:hAnsi="Times New Roman" w:eastAsia="宋体" w:cs="Times New Roman"/>
          <w:b/>
          <w:bCs/>
          <w:sz w:val="28"/>
          <w:szCs w:val="28"/>
          <w:lang w:eastAsia="zh-CN"/>
        </w:rPr>
      </w:pPr>
      <w:r>
        <w:rPr>
          <w:rFonts w:hint="default" w:ascii="Times New Roman" w:hAnsi="Times New Roman" w:eastAsia="宋体" w:cs="Times New Roman"/>
          <w:b/>
          <w:bCs/>
          <w:sz w:val="28"/>
          <w:szCs w:val="28"/>
          <w:lang w:eastAsia="zh-CN"/>
        </w:rPr>
        <w:t>外卖骑手高温热浪</w:t>
      </w:r>
      <w:r>
        <w:rPr>
          <w:rFonts w:hint="eastAsia" w:ascii="Times New Roman" w:hAnsi="Times New Roman" w:eastAsia="宋体" w:cs="Times New Roman"/>
          <w:b/>
          <w:bCs/>
          <w:sz w:val="28"/>
          <w:szCs w:val="28"/>
          <w:lang w:val="en-US" w:eastAsia="zh-CN"/>
        </w:rPr>
        <w:t>认知行为及其</w:t>
      </w:r>
      <w:r>
        <w:rPr>
          <w:rFonts w:hint="default" w:ascii="Times New Roman" w:hAnsi="Times New Roman" w:eastAsia="宋体" w:cs="Times New Roman"/>
          <w:b/>
          <w:bCs/>
          <w:sz w:val="28"/>
          <w:szCs w:val="28"/>
          <w:lang w:eastAsia="zh-CN"/>
        </w:rPr>
        <w:t>相关疾病影响因素研究</w:t>
      </w:r>
    </w:p>
    <w:p w14:paraId="05FCE73A">
      <w:pPr>
        <w:spacing w:line="360" w:lineRule="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裘一丹，谷少华，王爱红，陆蓓蓓，史碧君，王永，张丹丹</w:t>
      </w:r>
    </w:p>
    <w:p w14:paraId="2CFDE10D">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宁波市疾病预防控制中心环境</w:t>
      </w:r>
      <w:r>
        <w:rPr>
          <w:rFonts w:hint="eastAsia" w:ascii="Times New Roman" w:hAnsi="Times New Roman" w:eastAsia="宋体" w:cs="Times New Roman"/>
          <w:sz w:val="24"/>
          <w:szCs w:val="24"/>
          <w:lang w:val="en-US" w:eastAsia="zh-CN"/>
        </w:rPr>
        <w:t>职业</w:t>
      </w:r>
      <w:r>
        <w:rPr>
          <w:rFonts w:hint="eastAsia" w:ascii="Times New Roman" w:hAnsi="Times New Roman" w:eastAsia="宋体" w:cs="Times New Roman"/>
          <w:sz w:val="24"/>
          <w:szCs w:val="24"/>
        </w:rPr>
        <w:t>与</w:t>
      </w:r>
      <w:r>
        <w:rPr>
          <w:rFonts w:hint="eastAsia" w:ascii="Times New Roman" w:hAnsi="Times New Roman" w:eastAsia="宋体" w:cs="Times New Roman"/>
          <w:sz w:val="24"/>
          <w:szCs w:val="24"/>
          <w:lang w:val="en-US" w:eastAsia="zh-CN"/>
        </w:rPr>
        <w:t>放射卫生科</w:t>
      </w:r>
      <w:r>
        <w:rPr>
          <w:rFonts w:hint="eastAsia" w:ascii="Times New Roman" w:hAnsi="Times New Roman" w:eastAsia="宋体" w:cs="Times New Roman"/>
          <w:sz w:val="24"/>
          <w:szCs w:val="24"/>
        </w:rPr>
        <w:t>，浙江 宁波 3150</w:t>
      </w:r>
      <w:r>
        <w:rPr>
          <w:rFonts w:hint="eastAsia" w:ascii="Times New Roman" w:hAnsi="Times New Roman" w:eastAsia="宋体" w:cs="Times New Roman"/>
          <w:sz w:val="24"/>
          <w:szCs w:val="24"/>
          <w:lang w:val="en-US" w:eastAsia="zh-CN"/>
        </w:rPr>
        <w:t>0</w:t>
      </w:r>
      <w:r>
        <w:rPr>
          <w:rFonts w:hint="eastAsia" w:ascii="Times New Roman" w:hAnsi="Times New Roman" w:eastAsia="宋体" w:cs="Times New Roman"/>
          <w:sz w:val="24"/>
          <w:szCs w:val="24"/>
        </w:rPr>
        <w:t>0</w:t>
      </w:r>
    </w:p>
    <w:p w14:paraId="11188D6F">
      <w:pPr>
        <w:spacing w:line="360" w:lineRule="auto"/>
        <w:rPr>
          <w:rFonts w:hint="eastAsia" w:ascii="Times New Roman" w:hAnsi="Times New Roman" w:eastAsia="宋体" w:cs="Times New Roman"/>
          <w:sz w:val="24"/>
          <w:szCs w:val="24"/>
        </w:rPr>
      </w:pPr>
      <w:r>
        <w:rPr>
          <w:rFonts w:ascii="Times New Roman" w:hAnsi="Times New Roman" w:eastAsia="宋体" w:cs="Times New Roman"/>
          <w:sz w:val="24"/>
          <w:szCs w:val="24"/>
        </w:rPr>
        <w:t>通信作者：</w:t>
      </w:r>
      <w:r>
        <w:rPr>
          <w:rFonts w:hint="eastAsia" w:ascii="Times New Roman" w:hAnsi="Times New Roman" w:eastAsia="宋体" w:cs="Times New Roman"/>
          <w:sz w:val="24"/>
          <w:szCs w:val="24"/>
        </w:rPr>
        <w:t>张丹</w:t>
      </w:r>
      <w:r>
        <w:rPr>
          <w:rFonts w:hint="eastAsia" w:ascii="Times New Roman" w:hAnsi="Times New Roman" w:eastAsia="宋体" w:cs="Times New Roman"/>
          <w:sz w:val="24"/>
          <w:szCs w:val="24"/>
          <w:lang w:val="en-US" w:eastAsia="zh-CN"/>
        </w:rPr>
        <w:t>丹</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E-mail：</w:t>
      </w:r>
      <w:r>
        <w:rPr>
          <w:rFonts w:hint="eastAsia" w:ascii="Times New Roman" w:hAnsi="Times New Roman" w:eastAsia="宋体" w:cs="Times New Roman"/>
          <w:color w:val="auto"/>
          <w:sz w:val="24"/>
          <w:szCs w:val="24"/>
          <w:u w:val="none"/>
        </w:rPr>
        <w:t>zhangdd@nbcdc.org.cn</w:t>
      </w:r>
    </w:p>
    <w:p w14:paraId="63B2D9E6">
      <w:pPr>
        <w:spacing w:line="360" w:lineRule="auto"/>
        <w:rPr>
          <w:rFonts w:hint="default" w:ascii="Times New Roman" w:hAnsi="Times New Roman" w:eastAsia="宋体" w:cs="Times New Roman"/>
          <w:b w:val="0"/>
          <w:bCs w:val="0"/>
          <w:sz w:val="24"/>
          <w:szCs w:val="24"/>
          <w:highlight w:val="none"/>
          <w:lang w:val="en-US" w:eastAsia="zh-CN"/>
        </w:rPr>
      </w:pPr>
      <w:r>
        <w:rPr>
          <w:rFonts w:hint="eastAsia" w:ascii="Times New Roman" w:hAnsi="Times New Roman" w:eastAsia="宋体" w:cs="Times New Roman"/>
          <w:b w:val="0"/>
          <w:bCs w:val="0"/>
          <w:sz w:val="24"/>
          <w:szCs w:val="24"/>
          <w:highlight w:val="none"/>
          <w:lang w:val="en-US" w:eastAsia="zh-CN"/>
        </w:rPr>
        <w:t>项目基金：宁波市医疗卫生品牌学科（PPXK2024-09）；宁波市医学重点学科（2022-B18）</w:t>
      </w:r>
    </w:p>
    <w:p w14:paraId="4937B018">
      <w:pPr>
        <w:spacing w:line="360" w:lineRule="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b/>
          <w:bCs/>
          <w:sz w:val="24"/>
          <w:szCs w:val="24"/>
          <w:lang w:val="en-US" w:eastAsia="zh-CN"/>
        </w:rPr>
        <w:t>【摘要】目的</w:t>
      </w:r>
      <w:r>
        <w:rPr>
          <w:rFonts w:hint="eastAsia" w:ascii="Times New Roman" w:hAnsi="Times New Roman" w:eastAsia="宋体" w:cs="Times New Roman"/>
          <w:sz w:val="24"/>
          <w:szCs w:val="24"/>
          <w:lang w:val="en-US" w:eastAsia="zh-CN"/>
        </w:rPr>
        <w:t xml:space="preserve"> 了解</w:t>
      </w:r>
      <w:r>
        <w:rPr>
          <w:rFonts w:hint="eastAsia" w:ascii="Times New Roman" w:hAnsi="Times New Roman" w:eastAsia="宋体" w:cs="Times New Roman"/>
          <w:color w:val="auto"/>
          <w:sz w:val="24"/>
          <w:szCs w:val="24"/>
          <w:lang w:val="en-US" w:eastAsia="zh-CN"/>
        </w:rPr>
        <w:t>外卖骑手对高温热浪风险认知和适应行为，探索外卖骑手高温热浪相关疾病的影响因</w:t>
      </w:r>
      <w:bookmarkStart w:id="0" w:name="_GoBack"/>
      <w:bookmarkEnd w:id="0"/>
      <w:r>
        <w:rPr>
          <w:rFonts w:hint="eastAsia" w:ascii="Times New Roman" w:hAnsi="Times New Roman" w:eastAsia="宋体" w:cs="Times New Roman"/>
          <w:color w:val="auto"/>
          <w:sz w:val="24"/>
          <w:szCs w:val="24"/>
          <w:lang w:val="en-US" w:eastAsia="zh-CN"/>
        </w:rPr>
        <w:t>素，为特殊职业人群制订高温热浪应对策略提供依据。</w:t>
      </w:r>
      <w:r>
        <w:rPr>
          <w:rFonts w:hint="eastAsia" w:ascii="Times New Roman" w:hAnsi="Times New Roman" w:eastAsia="宋体" w:cs="Times New Roman"/>
          <w:b/>
          <w:bCs/>
          <w:color w:val="auto"/>
          <w:sz w:val="24"/>
          <w:szCs w:val="24"/>
          <w:lang w:val="en-US" w:eastAsia="zh-CN"/>
        </w:rPr>
        <w:t xml:space="preserve">方法 </w:t>
      </w:r>
      <w:r>
        <w:rPr>
          <w:rFonts w:hint="eastAsia" w:ascii="Times New Roman" w:hAnsi="Times New Roman" w:eastAsia="宋体" w:cs="Times New Roman"/>
          <w:b w:val="0"/>
          <w:bCs w:val="0"/>
          <w:color w:val="auto"/>
          <w:sz w:val="24"/>
          <w:szCs w:val="24"/>
          <w:lang w:val="en-US" w:eastAsia="zh-CN"/>
        </w:rPr>
        <w:t>本研究于2022年11月采用方便抽样法，通过宁波市某大型外卖配送平台下属的配送站点向外卖骑手推送。调查问卷统一采用自行设计的电子问卷，利用微信二维码发放问卷链接。采用方差分析对不同组间高温热浪的认知得分情况和适应行为得分情况进行差异判别；使用多因素Logistic回归探索</w:t>
      </w:r>
      <w:r>
        <w:rPr>
          <w:rFonts w:hint="default" w:ascii="Times New Roman" w:hAnsi="Times New Roman" w:eastAsia="宋体" w:cs="Times New Roman"/>
          <w:sz w:val="24"/>
          <w:szCs w:val="24"/>
          <w:lang w:eastAsia="zh-CN"/>
        </w:rPr>
        <w:t>高温热浪相关疾病影响因素</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b/>
          <w:bCs/>
          <w:color w:val="auto"/>
          <w:sz w:val="24"/>
          <w:szCs w:val="24"/>
          <w:lang w:val="en-US" w:eastAsia="zh-CN"/>
        </w:rPr>
        <w:t xml:space="preserve">结果 </w:t>
      </w:r>
      <w:r>
        <w:rPr>
          <w:rFonts w:hint="eastAsia" w:ascii="Times New Roman" w:hAnsi="Times New Roman" w:eastAsia="宋体" w:cs="Times New Roman"/>
          <w:b w:val="0"/>
          <w:bCs w:val="0"/>
          <w:color w:val="auto"/>
          <w:sz w:val="24"/>
          <w:szCs w:val="24"/>
          <w:lang w:val="en-US" w:eastAsia="zh-CN"/>
        </w:rPr>
        <w:t>共收集到911份电子问卷，其中有效问卷830份，合格率91.11%。</w:t>
      </w:r>
      <w:r>
        <w:rPr>
          <w:rFonts w:hint="eastAsia" w:ascii="Times New Roman" w:hAnsi="Times New Roman" w:eastAsia="宋体" w:cs="Times New Roman"/>
          <w:color w:val="auto"/>
          <w:sz w:val="24"/>
          <w:szCs w:val="24"/>
          <w:lang w:val="en-US" w:eastAsia="zh-CN"/>
        </w:rPr>
        <w:t>调查发现，外卖骑手对“我国高温预警信号”（9.00%）知识了解较少；“经常喝冰镇饮料”（61.33%）、“等到口渴再喝水”（33.25%）等非健康饮水行为发生率较高。其高温热浪风险认知平均得分为5.86±1.31分；不同人群组中，随着工作时间越长、年龄越大、文化程度越高，高温热浪的风险认知得分越高（P&lt;0.05）。其高温热浪适应行为平均得分为5.91±1.38分；不同人群组中，随着年龄越大、文化程度越高，高温热浪的适应行为得分越高（P&lt;0.05）。现患慢性疾病（OR=13.26，95%CI：6.26~28.10）和外卖工作年限高（OR=1.94，95%CI：1.13~3.31）是高温中暑的危险因素。女性、</w:t>
      </w:r>
      <w:r>
        <w:rPr>
          <w:rFonts w:hint="eastAsia" w:ascii="Times New Roman" w:hAnsi="Times New Roman" w:eastAsia="宋体" w:cs="Times New Roman"/>
          <w:color w:val="auto"/>
          <w:sz w:val="24"/>
          <w:szCs w:val="24"/>
          <w:highlight w:val="none"/>
          <w:lang w:val="en-US" w:eastAsia="zh-CN"/>
        </w:rPr>
        <w:t>患有慢性疾病、外卖工作年限高、经常喝冰镇饮料、</w:t>
      </w:r>
      <w:r>
        <w:rPr>
          <w:rFonts w:hint="eastAsia" w:ascii="Times New Roman" w:hAnsi="Times New Roman" w:eastAsia="宋体" w:cs="Times New Roman"/>
          <w:color w:val="auto"/>
          <w:sz w:val="24"/>
          <w:szCs w:val="24"/>
          <w:lang w:val="en-US" w:eastAsia="zh-CN"/>
        </w:rPr>
        <w:t>近一年每周饮酒4次及以上、高认知得分是自报高温相关中暑症状、消化系统症状、心理和睡眠问题的危险因素。使用空调是高温相关消化系统症状（OR=0.53，95%CI：0.31~0.92）和睡眠问题（OR=0.56，95%CI：0.37~0.86）的保护因素。随身配备降温防暑物品/药品是高温相关心理问题的保护因素（OR=0.58，95%CI：0.41~0.84）。</w:t>
      </w:r>
      <w:r>
        <w:rPr>
          <w:rFonts w:hint="eastAsia" w:ascii="Times New Roman" w:hAnsi="Times New Roman" w:eastAsia="宋体" w:cs="Times New Roman"/>
          <w:b/>
          <w:bCs/>
          <w:color w:val="auto"/>
          <w:sz w:val="24"/>
          <w:szCs w:val="24"/>
          <w:lang w:val="en-US" w:eastAsia="zh-CN"/>
        </w:rPr>
        <w:t xml:space="preserve">结论 </w:t>
      </w:r>
      <w:r>
        <w:rPr>
          <w:rFonts w:hint="eastAsia" w:ascii="Times New Roman" w:hAnsi="Times New Roman" w:eastAsia="宋体" w:cs="Times New Roman"/>
          <w:b w:val="0"/>
          <w:bCs w:val="0"/>
          <w:color w:val="auto"/>
          <w:sz w:val="24"/>
          <w:szCs w:val="24"/>
          <w:lang w:val="en-US" w:eastAsia="zh-CN"/>
        </w:rPr>
        <w:t>外卖骑手对高温热浪风险认知较低，存在非健康饮水等行为误区。</w:t>
      </w:r>
      <w:r>
        <w:rPr>
          <w:rFonts w:hint="eastAsia" w:ascii="Times New Roman" w:hAnsi="Times New Roman" w:eastAsia="宋体" w:cs="Times New Roman"/>
          <w:color w:val="auto"/>
          <w:sz w:val="24"/>
          <w:szCs w:val="24"/>
          <w:lang w:val="en-US" w:eastAsia="zh-CN"/>
        </w:rPr>
        <w:t>性别、是否患慢性疾病、空调使用频率、健康饮水行为、饮酒频率、随身备药等是外卖骑手高温热浪相关疾病的影响因素。</w:t>
      </w:r>
    </w:p>
    <w:p w14:paraId="16ACD807">
      <w:pPr>
        <w:spacing w:line="360" w:lineRule="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b/>
          <w:bCs/>
          <w:color w:val="auto"/>
          <w:sz w:val="24"/>
          <w:szCs w:val="24"/>
          <w:lang w:val="en-US" w:eastAsia="zh-CN"/>
        </w:rPr>
        <w:t>【关键词】</w:t>
      </w:r>
      <w:r>
        <w:rPr>
          <w:rFonts w:hint="eastAsia" w:ascii="Times New Roman" w:hAnsi="Times New Roman" w:eastAsia="宋体" w:cs="Times New Roman"/>
          <w:b/>
          <w:bCs/>
          <w:color w:val="auto"/>
          <w:sz w:val="24"/>
          <w:szCs w:val="24"/>
          <w:lang w:val="en-US" w:eastAsia="zh-CN"/>
        </w:rPr>
        <w:t xml:space="preserve"> </w:t>
      </w:r>
      <w:r>
        <w:rPr>
          <w:rFonts w:hint="default" w:ascii="Times New Roman" w:hAnsi="Times New Roman" w:eastAsia="宋体" w:cs="Times New Roman"/>
          <w:color w:val="auto"/>
          <w:sz w:val="24"/>
          <w:szCs w:val="24"/>
          <w:lang w:val="en-US" w:eastAsia="zh-CN"/>
        </w:rPr>
        <w:t>高温热浪；</w:t>
      </w:r>
      <w:r>
        <w:rPr>
          <w:rFonts w:hint="eastAsia" w:ascii="Times New Roman" w:hAnsi="Times New Roman" w:eastAsia="宋体" w:cs="Times New Roman"/>
          <w:color w:val="auto"/>
          <w:sz w:val="24"/>
          <w:szCs w:val="24"/>
          <w:lang w:val="en-US" w:eastAsia="zh-CN"/>
        </w:rPr>
        <w:t>外卖骑手</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风险认知；</w:t>
      </w:r>
      <w:r>
        <w:rPr>
          <w:rFonts w:hint="default" w:ascii="Times New Roman" w:hAnsi="Times New Roman" w:eastAsia="宋体" w:cs="Times New Roman"/>
          <w:color w:val="auto"/>
          <w:sz w:val="24"/>
          <w:szCs w:val="24"/>
          <w:lang w:val="en-US" w:eastAsia="zh-CN"/>
        </w:rPr>
        <w:t>适应行为</w:t>
      </w:r>
      <w:r>
        <w:rPr>
          <w:rFonts w:hint="eastAsia" w:ascii="Times New Roman" w:hAnsi="Times New Roman" w:eastAsia="宋体" w:cs="Times New Roman"/>
          <w:color w:val="auto"/>
          <w:sz w:val="24"/>
          <w:szCs w:val="24"/>
          <w:lang w:val="en-US" w:eastAsia="zh-CN"/>
        </w:rPr>
        <w:t>；影响因素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kNGNjZjZmNmQ2MDNhMzBiYjZkZGQ3ZjFjNWJmY2UifQ=="/>
  </w:docVars>
  <w:rsids>
    <w:rsidRoot w:val="19394F97"/>
    <w:rsid w:val="18AE036C"/>
    <w:rsid w:val="19394F97"/>
    <w:rsid w:val="2FD73EEA"/>
    <w:rsid w:val="39890688"/>
    <w:rsid w:val="64874BF3"/>
    <w:rsid w:val="64C23E7D"/>
    <w:rsid w:val="664408C2"/>
    <w:rsid w:val="69FB1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semiHidden/>
    <w:unhideWhenUsed/>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863</Words>
  <Characters>1040</Characters>
  <Lines>0</Lines>
  <Paragraphs>0</Paragraphs>
  <TotalTime>2</TotalTime>
  <ScaleCrop>false</ScaleCrop>
  <LinksUpToDate>false</LinksUpToDate>
  <CharactersWithSpaces>1048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2024-08-13T14:34:00Z</dcterms:created>
  <dc:creator>裘一丹</dc:creator>
  <cp:lastModifiedBy>裘一丹</cp:lastModifiedBy>
  <dcterms:modified xsi:type="dcterms:W3CDTF">2024-08-14T13:02:33Z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B1AD7FB14EE041E68A2498A2E874F592_11</vt:lpwstr>
  </property>
</Properties>
</file>